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CC" w:rsidRPr="00A27ABA" w:rsidRDefault="00A27ABA" w:rsidP="00A27ABA">
      <w:pPr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7ABA">
        <w:rPr>
          <w:rFonts w:ascii="Times New Roman" w:hAnsi="Times New Roman" w:cs="Times New Roman"/>
          <w:b/>
          <w:bCs/>
          <w:sz w:val="30"/>
          <w:szCs w:val="30"/>
        </w:rPr>
        <w:t xml:space="preserve">ЭФФЕКТИВНОСТЬ ПРОБИОТИЧЕСКИХ СРЕДСТВ ФИРМЫ </w:t>
      </w:r>
      <w:r w:rsidRPr="00A27ABA">
        <w:rPr>
          <w:rFonts w:ascii="Times New Roman" w:hAnsi="Times New Roman" w:cs="Times New Roman"/>
          <w:b/>
          <w:bCs/>
          <w:sz w:val="30"/>
          <w:szCs w:val="30"/>
          <w:lang w:val="en-US"/>
        </w:rPr>
        <w:t>CHRISAL</w:t>
      </w:r>
      <w:proofErr w:type="gramStart"/>
      <w:r w:rsidRPr="00A27ABA">
        <w:rPr>
          <w:rFonts w:ascii="Times New Roman" w:hAnsi="Times New Roman" w:cs="Times New Roman"/>
          <w:b/>
          <w:bCs/>
          <w:sz w:val="30"/>
          <w:szCs w:val="30"/>
        </w:rPr>
        <w:t xml:space="preserve"> В</w:t>
      </w:r>
      <w:proofErr w:type="gramEnd"/>
      <w:r w:rsidRPr="00A27ABA">
        <w:rPr>
          <w:rFonts w:ascii="Times New Roman" w:hAnsi="Times New Roman" w:cs="Times New Roman"/>
          <w:b/>
          <w:bCs/>
          <w:sz w:val="30"/>
          <w:szCs w:val="30"/>
        </w:rPr>
        <w:t xml:space="preserve"> ПРОФИЛАКТИКЕ МАСТИТОВ И ПОВЫШЕНИИ КАЧЕСТВА МОЛОКА</w:t>
      </w:r>
    </w:p>
    <w:p w:rsidR="0047729A" w:rsidRDefault="0047729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B2C" w:rsidRDefault="00E24B3B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A3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  <w:r w:rsidRPr="007256A3">
        <w:rPr>
          <w:rFonts w:ascii="Times New Roman" w:hAnsi="Times New Roman" w:cs="Times New Roman"/>
          <w:sz w:val="28"/>
          <w:szCs w:val="28"/>
        </w:rPr>
        <w:t>. Исследования</w:t>
      </w:r>
      <w:r w:rsidR="003301BF" w:rsidRPr="007256A3">
        <w:rPr>
          <w:rFonts w:ascii="Times New Roman" w:hAnsi="Times New Roman" w:cs="Times New Roman"/>
          <w:sz w:val="28"/>
          <w:szCs w:val="28"/>
        </w:rPr>
        <w:t xml:space="preserve"> по профилактике заболеваний молочной железы коров</w:t>
      </w:r>
      <w:r w:rsidR="006A620F">
        <w:rPr>
          <w:rFonts w:ascii="Times New Roman" w:hAnsi="Times New Roman" w:cs="Times New Roman"/>
          <w:sz w:val="28"/>
          <w:szCs w:val="28"/>
        </w:rPr>
        <w:t xml:space="preserve"> с использовани</w:t>
      </w:r>
      <w:r w:rsidR="00B120EC">
        <w:rPr>
          <w:rFonts w:ascii="Times New Roman" w:hAnsi="Times New Roman" w:cs="Times New Roman"/>
          <w:sz w:val="28"/>
          <w:szCs w:val="28"/>
        </w:rPr>
        <w:t xml:space="preserve">ем </w:t>
      </w:r>
      <w:r w:rsidR="00B120EC" w:rsidRPr="00260386">
        <w:rPr>
          <w:rFonts w:ascii="Times New Roman" w:hAnsi="Times New Roman" w:cs="Times New Roman"/>
          <w:sz w:val="28"/>
          <w:szCs w:val="28"/>
        </w:rPr>
        <w:t>средств, содержащих пробиот</w:t>
      </w:r>
      <w:r w:rsidR="006A620F" w:rsidRPr="00260386">
        <w:rPr>
          <w:rFonts w:ascii="Times New Roman" w:hAnsi="Times New Roman" w:cs="Times New Roman"/>
          <w:sz w:val="28"/>
          <w:szCs w:val="28"/>
        </w:rPr>
        <w:t>и</w:t>
      </w:r>
      <w:r w:rsidR="00B120EC" w:rsidRPr="00260386">
        <w:rPr>
          <w:rFonts w:ascii="Times New Roman" w:hAnsi="Times New Roman" w:cs="Times New Roman"/>
          <w:sz w:val="28"/>
          <w:szCs w:val="28"/>
        </w:rPr>
        <w:t>ческие культуры,</w:t>
      </w:r>
      <w:r w:rsidRPr="007256A3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B120EC"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Pr="007256A3">
        <w:rPr>
          <w:rFonts w:ascii="Times New Roman" w:hAnsi="Times New Roman" w:cs="Times New Roman"/>
          <w:sz w:val="28"/>
          <w:szCs w:val="28"/>
        </w:rPr>
        <w:t xml:space="preserve"> на базе ЗАО «Щелкунское»</w:t>
      </w:r>
      <w:r w:rsidR="006A620F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7256A3">
        <w:rPr>
          <w:rFonts w:ascii="Times New Roman" w:hAnsi="Times New Roman" w:cs="Times New Roman"/>
          <w:sz w:val="28"/>
          <w:szCs w:val="28"/>
        </w:rPr>
        <w:t xml:space="preserve"> на коровах черно-пестрой породы типа </w:t>
      </w:r>
      <w:r w:rsidR="003301BF" w:rsidRPr="007256A3">
        <w:rPr>
          <w:rFonts w:ascii="Times New Roman" w:hAnsi="Times New Roman" w:cs="Times New Roman"/>
          <w:sz w:val="28"/>
          <w:szCs w:val="28"/>
        </w:rPr>
        <w:t>«</w:t>
      </w:r>
      <w:r w:rsidRPr="007256A3">
        <w:rPr>
          <w:rFonts w:ascii="Times New Roman" w:hAnsi="Times New Roman" w:cs="Times New Roman"/>
          <w:sz w:val="28"/>
          <w:szCs w:val="28"/>
        </w:rPr>
        <w:t>Уральский</w:t>
      </w:r>
      <w:r w:rsidR="003301BF" w:rsidRPr="007256A3">
        <w:rPr>
          <w:rFonts w:ascii="Times New Roman" w:hAnsi="Times New Roman" w:cs="Times New Roman"/>
          <w:sz w:val="28"/>
          <w:szCs w:val="28"/>
        </w:rPr>
        <w:t>»</w:t>
      </w:r>
      <w:r w:rsidRPr="007256A3">
        <w:rPr>
          <w:rFonts w:ascii="Times New Roman" w:hAnsi="Times New Roman" w:cs="Times New Roman"/>
          <w:sz w:val="28"/>
          <w:szCs w:val="28"/>
        </w:rPr>
        <w:t xml:space="preserve"> со среднегодовой молочной продуктивностью </w:t>
      </w:r>
      <w:r w:rsidR="007256A3" w:rsidRPr="007256A3">
        <w:rPr>
          <w:rFonts w:ascii="Times New Roman" w:hAnsi="Times New Roman" w:cs="Times New Roman"/>
          <w:sz w:val="28"/>
          <w:szCs w:val="28"/>
        </w:rPr>
        <w:t>496</w:t>
      </w:r>
      <w:r w:rsidRPr="007256A3">
        <w:rPr>
          <w:rFonts w:ascii="Times New Roman" w:hAnsi="Times New Roman" w:cs="Times New Roman"/>
          <w:sz w:val="28"/>
          <w:szCs w:val="28"/>
        </w:rPr>
        <w:t xml:space="preserve">0 тыс. кг. Содержание животных привязное круглогодичное. Доение осуществляется в молокопровод 2 раза в сутки. </w:t>
      </w:r>
    </w:p>
    <w:p w:rsidR="0097033D" w:rsidRPr="005A53D2" w:rsidRDefault="0097033D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D2">
        <w:rPr>
          <w:rFonts w:ascii="Times New Roman" w:hAnsi="Times New Roman" w:cs="Times New Roman"/>
          <w:sz w:val="28"/>
          <w:szCs w:val="28"/>
        </w:rPr>
        <w:t>Научно-производственный опыт выполнен на двух группах коров в стадию лактации</w:t>
      </w:r>
      <w:r w:rsidR="00583470">
        <w:rPr>
          <w:rFonts w:ascii="Times New Roman" w:hAnsi="Times New Roman" w:cs="Times New Roman"/>
          <w:sz w:val="28"/>
          <w:szCs w:val="28"/>
        </w:rPr>
        <w:t xml:space="preserve">, которые содержались в разных корпусах. </w:t>
      </w:r>
    </w:p>
    <w:p w:rsidR="0097033D" w:rsidRPr="005A53D2" w:rsidRDefault="0097033D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D2">
        <w:rPr>
          <w:rFonts w:ascii="Times New Roman" w:hAnsi="Times New Roman" w:cs="Times New Roman"/>
          <w:bCs/>
          <w:sz w:val="28"/>
          <w:szCs w:val="28"/>
        </w:rPr>
        <w:t xml:space="preserve">Для обмывания вымени перед доением использовали средство </w:t>
      </w:r>
      <w:r w:rsidRPr="005A53D2">
        <w:rPr>
          <w:rFonts w:ascii="Times New Roman" w:hAnsi="Times New Roman" w:cs="Times New Roman"/>
          <w:bCs/>
          <w:sz w:val="28"/>
          <w:szCs w:val="28"/>
          <w:lang w:val="en-GB"/>
        </w:rPr>
        <w:t>PIP</w:t>
      </w:r>
      <w:r w:rsidRPr="005A53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3D2">
        <w:rPr>
          <w:rFonts w:ascii="Times New Roman" w:hAnsi="Times New Roman" w:cs="Times New Roman"/>
          <w:bCs/>
          <w:sz w:val="28"/>
          <w:szCs w:val="28"/>
          <w:lang w:val="en-GB"/>
        </w:rPr>
        <w:t>P</w:t>
      </w:r>
      <w:r w:rsidRPr="005A53D2">
        <w:rPr>
          <w:rFonts w:ascii="Times New Roman" w:hAnsi="Times New Roman" w:cs="Times New Roman"/>
          <w:bCs/>
          <w:iCs/>
          <w:sz w:val="28"/>
          <w:szCs w:val="28"/>
          <w:lang w:val="en-GB"/>
        </w:rPr>
        <w:t>W</w:t>
      </w:r>
      <w:r w:rsidRPr="005A5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3D2">
        <w:rPr>
          <w:rFonts w:ascii="Times New Roman" w:hAnsi="Times New Roman" w:cs="Times New Roman"/>
          <w:bCs/>
          <w:sz w:val="28"/>
          <w:szCs w:val="28"/>
        </w:rPr>
        <w:t xml:space="preserve">в концентрации 0,2%. </w:t>
      </w:r>
      <w:r w:rsidRPr="005A53D2">
        <w:rPr>
          <w:rFonts w:ascii="Times New Roman" w:hAnsi="Times New Roman" w:cs="Times New Roman"/>
          <w:sz w:val="28"/>
          <w:szCs w:val="28"/>
        </w:rPr>
        <w:t xml:space="preserve">Для орошения сосков после доения применяли средство </w:t>
      </w:r>
      <w:r w:rsidRPr="005A53D2">
        <w:rPr>
          <w:rFonts w:ascii="Times New Roman" w:hAnsi="Times New Roman" w:cs="Times New Roman"/>
          <w:bCs/>
          <w:sz w:val="28"/>
          <w:szCs w:val="28"/>
          <w:lang w:val="en-GB"/>
        </w:rPr>
        <w:t>PIP</w:t>
      </w:r>
      <w:r w:rsidRPr="005A53D2">
        <w:rPr>
          <w:rFonts w:ascii="Times New Roman" w:hAnsi="Times New Roman" w:cs="Times New Roman"/>
          <w:bCs/>
          <w:sz w:val="28"/>
          <w:szCs w:val="28"/>
        </w:rPr>
        <w:t xml:space="preserve"> СТС в концентрации 4%, которое наносили при помощи пульверизатора непосредственно после снятия доильного аппарата, распыляя препарат снизу вверх от верхушки соска в течение 2-3 секунд. </w:t>
      </w:r>
      <w:r w:rsidRPr="005A53D2">
        <w:rPr>
          <w:rFonts w:ascii="Times New Roman" w:hAnsi="Times New Roman" w:cs="Times New Roman"/>
          <w:sz w:val="28"/>
          <w:szCs w:val="28"/>
        </w:rPr>
        <w:t xml:space="preserve">В контрольной группе содержание и уход осуществлялись по используемой в хозяйстве технологии. </w:t>
      </w:r>
      <w:r w:rsidR="005A53D2" w:rsidRPr="005A53D2">
        <w:rPr>
          <w:rFonts w:ascii="Times New Roman" w:hAnsi="Times New Roman" w:cs="Times New Roman"/>
          <w:sz w:val="28"/>
          <w:szCs w:val="28"/>
        </w:rPr>
        <w:t xml:space="preserve">Обмывание вымени проводилось с использованием </w:t>
      </w:r>
      <w:proofErr w:type="spellStart"/>
      <w:r w:rsidR="005A53D2" w:rsidRPr="005A53D2">
        <w:rPr>
          <w:rFonts w:ascii="Times New Roman" w:hAnsi="Times New Roman" w:cs="Times New Roman"/>
          <w:sz w:val="28"/>
          <w:szCs w:val="28"/>
        </w:rPr>
        <w:t>Кенопура</w:t>
      </w:r>
      <w:proofErr w:type="spellEnd"/>
      <w:r w:rsidR="005A53D2" w:rsidRPr="005A53D2">
        <w:rPr>
          <w:rFonts w:ascii="Times New Roman" w:hAnsi="Times New Roman" w:cs="Times New Roman"/>
          <w:sz w:val="28"/>
          <w:szCs w:val="28"/>
        </w:rPr>
        <w:t>, а обработка сосков после доения не производилась.</w:t>
      </w:r>
    </w:p>
    <w:p w:rsidR="0097033D" w:rsidRPr="005A53D2" w:rsidRDefault="005A53D2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D2">
        <w:rPr>
          <w:rFonts w:ascii="Times New Roman" w:hAnsi="Times New Roman" w:cs="Times New Roman"/>
          <w:sz w:val="28"/>
          <w:szCs w:val="28"/>
        </w:rPr>
        <w:t>Перед началом использования пробиотических сре</w:t>
      </w:r>
      <w:proofErr w:type="gramStart"/>
      <w:r w:rsidRPr="005A53D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A53D2">
        <w:rPr>
          <w:rFonts w:ascii="Times New Roman" w:hAnsi="Times New Roman" w:cs="Times New Roman"/>
          <w:sz w:val="28"/>
          <w:szCs w:val="28"/>
        </w:rPr>
        <w:t>овели исследование состояния молочной железы коров, включающее исследование на скрытый мастит с использованием быстрых маститных тестов (</w:t>
      </w:r>
      <w:proofErr w:type="spellStart"/>
      <w:r w:rsidRPr="005A53D2">
        <w:rPr>
          <w:rFonts w:ascii="Times New Roman" w:hAnsi="Times New Roman" w:cs="Times New Roman"/>
          <w:sz w:val="28"/>
          <w:szCs w:val="28"/>
        </w:rPr>
        <w:t>Кенотест</w:t>
      </w:r>
      <w:proofErr w:type="spellEnd"/>
      <w:r w:rsidRPr="005A53D2">
        <w:rPr>
          <w:rFonts w:ascii="Times New Roman" w:hAnsi="Times New Roman" w:cs="Times New Roman"/>
          <w:sz w:val="28"/>
          <w:szCs w:val="28"/>
        </w:rPr>
        <w:t xml:space="preserve">) и молочных пластинок, и оценку состояния сосков вымени с использованием диагностической шкалы поражений сосков, разработанной на кафедре хирургии и акушерства Уральской ГСХА (2006). Еженедельно на протяжении </w:t>
      </w:r>
      <w:r w:rsidR="00583470">
        <w:rPr>
          <w:rFonts w:ascii="Times New Roman" w:hAnsi="Times New Roman" w:cs="Times New Roman"/>
          <w:sz w:val="28"/>
          <w:szCs w:val="28"/>
        </w:rPr>
        <w:t>месяца</w:t>
      </w:r>
      <w:r w:rsidRPr="005A53D2">
        <w:rPr>
          <w:rFonts w:ascii="Times New Roman" w:hAnsi="Times New Roman" w:cs="Times New Roman"/>
          <w:sz w:val="28"/>
          <w:szCs w:val="28"/>
        </w:rPr>
        <w:t xml:space="preserve"> опыта проводили исследование сборного молока из молочных танков опытного и контрольного корпусов путем прямого подсчета количества соматических клеток на счетчике соматических клеток </w:t>
      </w:r>
      <w:proofErr w:type="spellStart"/>
      <w:r w:rsidRPr="005A53D2">
        <w:rPr>
          <w:rFonts w:ascii="Times New Roman" w:hAnsi="Times New Roman" w:cs="Times New Roman"/>
          <w:sz w:val="28"/>
          <w:szCs w:val="28"/>
        </w:rPr>
        <w:t>DeLaval</w:t>
      </w:r>
      <w:proofErr w:type="spellEnd"/>
      <w:r w:rsidRPr="005A53D2">
        <w:rPr>
          <w:rFonts w:ascii="Times New Roman" w:hAnsi="Times New Roman" w:cs="Times New Roman"/>
          <w:sz w:val="28"/>
          <w:szCs w:val="28"/>
        </w:rPr>
        <w:t>.</w:t>
      </w:r>
    </w:p>
    <w:p w:rsidR="0097033D" w:rsidRPr="005A53D2" w:rsidRDefault="005A53D2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D2">
        <w:rPr>
          <w:rFonts w:ascii="Times New Roman" w:hAnsi="Times New Roman" w:cs="Times New Roman"/>
          <w:sz w:val="28"/>
          <w:szCs w:val="28"/>
        </w:rPr>
        <w:t xml:space="preserve">Повторное исследование на скрытый мастит и оценку состояния сосков вымени проводили </w:t>
      </w:r>
      <w:r w:rsidR="00583470">
        <w:rPr>
          <w:rFonts w:ascii="Times New Roman" w:hAnsi="Times New Roman" w:cs="Times New Roman"/>
          <w:sz w:val="28"/>
          <w:szCs w:val="28"/>
        </w:rPr>
        <w:t xml:space="preserve">ежемесячно в течение 3-х месяцев. </w:t>
      </w:r>
    </w:p>
    <w:p w:rsidR="005F7E47" w:rsidRDefault="00064A76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64A76">
        <w:rPr>
          <w:b/>
          <w:sz w:val="28"/>
          <w:szCs w:val="28"/>
        </w:rPr>
        <w:t>Результаты исследования</w:t>
      </w:r>
      <w:r>
        <w:rPr>
          <w:sz w:val="28"/>
          <w:szCs w:val="28"/>
        </w:rPr>
        <w:t xml:space="preserve">. </w:t>
      </w:r>
    </w:p>
    <w:p w:rsidR="00242784" w:rsidRDefault="00064A76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уровня заболеваемости коров скрытыми маститами в опытной и контрольной группах показал</w:t>
      </w:r>
      <w:r w:rsidR="00934898">
        <w:rPr>
          <w:sz w:val="28"/>
          <w:szCs w:val="28"/>
        </w:rPr>
        <w:t>о</w:t>
      </w:r>
      <w:r>
        <w:rPr>
          <w:sz w:val="28"/>
          <w:szCs w:val="28"/>
        </w:rPr>
        <w:t xml:space="preserve">, что положительная реакция </w:t>
      </w:r>
      <w:r w:rsidR="00934898">
        <w:rPr>
          <w:sz w:val="28"/>
          <w:szCs w:val="28"/>
        </w:rPr>
        <w:t xml:space="preserve">с маститным тестом </w:t>
      </w:r>
      <w:r>
        <w:rPr>
          <w:sz w:val="28"/>
          <w:szCs w:val="28"/>
        </w:rPr>
        <w:t>отмечается у 60,9% животных опытной группы и у</w:t>
      </w:r>
      <w:r w:rsidR="005438BA">
        <w:rPr>
          <w:sz w:val="28"/>
          <w:szCs w:val="28"/>
        </w:rPr>
        <w:t xml:space="preserve"> 50,0% </w:t>
      </w:r>
      <w:r w:rsidR="005438BA">
        <w:rPr>
          <w:sz w:val="28"/>
          <w:szCs w:val="28"/>
        </w:rPr>
        <w:lastRenderedPageBreak/>
        <w:t>коров контрольной группы, при этом отрицательная р</w:t>
      </w:r>
      <w:r w:rsidR="00583470">
        <w:rPr>
          <w:sz w:val="28"/>
          <w:szCs w:val="28"/>
        </w:rPr>
        <w:t>еакция была зафиксирована у 19,6</w:t>
      </w:r>
      <w:r w:rsidR="005438BA">
        <w:rPr>
          <w:sz w:val="28"/>
          <w:szCs w:val="28"/>
        </w:rPr>
        <w:t>% коров опытной и у</w:t>
      </w:r>
      <w:r w:rsidR="00583470">
        <w:rPr>
          <w:sz w:val="28"/>
          <w:szCs w:val="28"/>
        </w:rPr>
        <w:t xml:space="preserve"> 23,3 </w:t>
      </w:r>
      <w:r w:rsidR="005438BA">
        <w:rPr>
          <w:sz w:val="28"/>
          <w:szCs w:val="28"/>
        </w:rPr>
        <w:t>% коров контрольной группы</w:t>
      </w:r>
      <w:r w:rsidR="00416D4F">
        <w:rPr>
          <w:sz w:val="28"/>
          <w:szCs w:val="28"/>
        </w:rPr>
        <w:t xml:space="preserve"> (рис. 1)</w:t>
      </w:r>
      <w:r w:rsidR="005438BA">
        <w:rPr>
          <w:sz w:val="28"/>
          <w:szCs w:val="28"/>
        </w:rPr>
        <w:t>.</w:t>
      </w:r>
      <w:proofErr w:type="gramEnd"/>
      <w:r w:rsidR="005438BA">
        <w:rPr>
          <w:sz w:val="28"/>
          <w:szCs w:val="28"/>
        </w:rPr>
        <w:t xml:space="preserve"> Таким образом, в опытной группе уровень скрытых маститов до начала исследования был </w:t>
      </w:r>
      <w:r w:rsidR="00F30725">
        <w:rPr>
          <w:sz w:val="28"/>
          <w:szCs w:val="28"/>
        </w:rPr>
        <w:t xml:space="preserve">на 8,6% </w:t>
      </w:r>
      <w:r w:rsidR="005438BA">
        <w:rPr>
          <w:sz w:val="28"/>
          <w:szCs w:val="28"/>
        </w:rPr>
        <w:t>выше</w:t>
      </w:r>
      <w:r w:rsidR="00934898">
        <w:rPr>
          <w:sz w:val="28"/>
          <w:szCs w:val="28"/>
        </w:rPr>
        <w:t>,</w:t>
      </w:r>
      <w:r w:rsidR="005438BA">
        <w:rPr>
          <w:sz w:val="28"/>
          <w:szCs w:val="28"/>
        </w:rPr>
        <w:t xml:space="preserve"> чем в контрольной, а количество животных, не имеющих изменений в молочной железе в опытной группе было</w:t>
      </w:r>
      <w:r w:rsidR="00416D4F">
        <w:rPr>
          <w:sz w:val="28"/>
          <w:szCs w:val="28"/>
        </w:rPr>
        <w:t xml:space="preserve"> ниже</w:t>
      </w:r>
      <w:r w:rsidR="005438BA">
        <w:rPr>
          <w:sz w:val="28"/>
          <w:szCs w:val="28"/>
        </w:rPr>
        <w:t xml:space="preserve"> на 5,9%</w:t>
      </w:r>
      <w:r w:rsidR="00416D4F">
        <w:rPr>
          <w:sz w:val="28"/>
          <w:szCs w:val="28"/>
        </w:rPr>
        <w:t xml:space="preserve"> </w:t>
      </w:r>
      <w:r w:rsidR="005438BA">
        <w:rPr>
          <w:sz w:val="28"/>
          <w:szCs w:val="28"/>
        </w:rPr>
        <w:t xml:space="preserve">. </w:t>
      </w:r>
    </w:p>
    <w:p w:rsidR="00583470" w:rsidRDefault="00583470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:rsidR="00583470" w:rsidRDefault="00583470" w:rsidP="007328CA">
      <w:pPr>
        <w:pStyle w:val="a5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583470">
        <w:rPr>
          <w:noProof/>
          <w:sz w:val="28"/>
          <w:szCs w:val="28"/>
          <w:lang w:bidi="ar-SA"/>
        </w:rPr>
        <w:drawing>
          <wp:inline distT="0" distB="0" distL="0" distR="0">
            <wp:extent cx="5940425" cy="3630226"/>
            <wp:effectExtent l="19050" t="0" r="22225" b="832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3470" w:rsidRPr="00A27ABA" w:rsidRDefault="007328CA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6"/>
          <w:szCs w:val="26"/>
        </w:rPr>
      </w:pPr>
      <w:r w:rsidRPr="00A27ABA">
        <w:rPr>
          <w:sz w:val="26"/>
          <w:szCs w:val="26"/>
        </w:rPr>
        <w:t>Рис. 1 – Уровень скрытых маститов у животных опытной группы.</w:t>
      </w:r>
    </w:p>
    <w:p w:rsidR="007328CA" w:rsidRDefault="007328CA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:rsidR="00C27E17" w:rsidRDefault="00C27E17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C430A">
        <w:rPr>
          <w:sz w:val="28"/>
          <w:szCs w:val="28"/>
        </w:rPr>
        <w:t>Анализ</w:t>
      </w:r>
      <w:r w:rsidRPr="00C27E17">
        <w:rPr>
          <w:sz w:val="28"/>
          <w:szCs w:val="28"/>
        </w:rPr>
        <w:t xml:space="preserve"> </w:t>
      </w:r>
      <w:r w:rsidRPr="00FC430A">
        <w:rPr>
          <w:sz w:val="28"/>
          <w:szCs w:val="28"/>
        </w:rPr>
        <w:t>данных</w:t>
      </w:r>
      <w:r>
        <w:rPr>
          <w:sz w:val="28"/>
          <w:szCs w:val="28"/>
        </w:rPr>
        <w:t>,</w:t>
      </w:r>
      <w:r w:rsidRPr="00FC430A">
        <w:rPr>
          <w:sz w:val="28"/>
          <w:szCs w:val="28"/>
        </w:rPr>
        <w:t xml:space="preserve"> полученных </w:t>
      </w:r>
      <w:r>
        <w:rPr>
          <w:sz w:val="28"/>
          <w:szCs w:val="28"/>
        </w:rPr>
        <w:t>после</w:t>
      </w:r>
      <w:r w:rsidR="00F30725">
        <w:rPr>
          <w:sz w:val="28"/>
          <w:szCs w:val="28"/>
        </w:rPr>
        <w:t xml:space="preserve"> месяца использования </w:t>
      </w:r>
      <w:r>
        <w:rPr>
          <w:sz w:val="28"/>
          <w:szCs w:val="28"/>
        </w:rPr>
        <w:t>пробиотических продуктов, показал, что количество животных</w:t>
      </w:r>
      <w:r w:rsidR="00B94848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имеющих </w:t>
      </w:r>
      <w:r w:rsidR="00B94848">
        <w:rPr>
          <w:sz w:val="28"/>
          <w:szCs w:val="28"/>
        </w:rPr>
        <w:t>патологии молочной железы,</w:t>
      </w:r>
      <w:r>
        <w:rPr>
          <w:sz w:val="28"/>
          <w:szCs w:val="28"/>
        </w:rPr>
        <w:t xml:space="preserve"> увеличилось в 1,</w:t>
      </w:r>
      <w:r w:rsidR="00F30725">
        <w:rPr>
          <w:sz w:val="28"/>
          <w:szCs w:val="28"/>
        </w:rPr>
        <w:t>5</w:t>
      </w:r>
      <w:r>
        <w:rPr>
          <w:sz w:val="28"/>
          <w:szCs w:val="28"/>
        </w:rPr>
        <w:t xml:space="preserve"> раза по сравнению с исходными данными, а количество голов с положительной и резко-положительной реакцией </w:t>
      </w:r>
      <w:r w:rsidR="00B94848">
        <w:rPr>
          <w:sz w:val="28"/>
          <w:szCs w:val="28"/>
        </w:rPr>
        <w:t xml:space="preserve"> на мастит </w:t>
      </w:r>
      <w:r>
        <w:rPr>
          <w:sz w:val="28"/>
          <w:szCs w:val="28"/>
        </w:rPr>
        <w:t xml:space="preserve">уменьшилось в 1,5 раза, при этом количество коров с резко-положительной реакцией сократилось в 2,3 раза и составило 12,3% </w:t>
      </w:r>
      <w:r w:rsidR="00F30725">
        <w:rPr>
          <w:sz w:val="28"/>
          <w:szCs w:val="28"/>
        </w:rPr>
        <w:t>всех обследованных коров</w:t>
      </w:r>
      <w:r>
        <w:rPr>
          <w:sz w:val="28"/>
          <w:szCs w:val="28"/>
        </w:rPr>
        <w:t xml:space="preserve">. </w:t>
      </w:r>
      <w:r w:rsidR="00F30725">
        <w:rPr>
          <w:sz w:val="28"/>
          <w:szCs w:val="28"/>
        </w:rPr>
        <w:t xml:space="preserve">При повторных исследованиях сохранялась положительная тенденция. Через 2 месяца использования средств количество коров с отрицательной реакцией увеличилось в 1,4 раза по сравнению с данными предшествующего исследования и в 2,2 раза по сравнению с исходными показателями. </w:t>
      </w:r>
    </w:p>
    <w:p w:rsidR="00F30725" w:rsidRDefault="00F30725" w:rsidP="00F45060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3 месяца применения количество коров с положительной и резко-положительной реакцией сократилось в 3 раза относительной </w:t>
      </w:r>
      <w:r>
        <w:rPr>
          <w:sz w:val="28"/>
          <w:szCs w:val="28"/>
        </w:rPr>
        <w:lastRenderedPageBreak/>
        <w:t xml:space="preserve">исходных данных, а с отрицательной увеличилось в 1,2 раза по сравнению  с предыдущим месяцем и в 2,7 раза по сравнению с исходными данными. </w:t>
      </w:r>
    </w:p>
    <w:p w:rsidR="00DD164C" w:rsidRDefault="00F30725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контрольной группе </w:t>
      </w:r>
      <w:r w:rsidR="002E02DF">
        <w:rPr>
          <w:rFonts w:ascii="Times New Roman" w:hAnsi="Times New Roman" w:cs="Times New Roman"/>
          <w:sz w:val="28"/>
          <w:szCs w:val="28"/>
        </w:rPr>
        <w:t>положительной тенденции отмечено не было</w:t>
      </w:r>
      <w:proofErr w:type="gramStart"/>
      <w:r w:rsidR="002E02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2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02DF">
        <w:rPr>
          <w:rFonts w:ascii="Times New Roman" w:hAnsi="Times New Roman" w:cs="Times New Roman"/>
          <w:sz w:val="28"/>
          <w:szCs w:val="28"/>
        </w:rPr>
        <w:t xml:space="preserve"> течение 3-х месяцев произошло сокращение количества животных с отрицательной реакцией  в 1,5 раза</w:t>
      </w:r>
      <w:r w:rsidR="00DD1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8C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CA" w:rsidRDefault="007328CA" w:rsidP="007328C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32678"/>
            <wp:effectExtent l="19050" t="0" r="22225" b="587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ABA">
        <w:rPr>
          <w:rFonts w:ascii="Times New Roman" w:hAnsi="Times New Roman" w:cs="Times New Roman"/>
          <w:sz w:val="26"/>
          <w:szCs w:val="26"/>
        </w:rPr>
        <w:t>Рис. 2 – Уровень скрытых маститов у коров контрольной группы.</w:t>
      </w:r>
    </w:p>
    <w:p w:rsidR="007328C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DF" w:rsidRDefault="0002537C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распространенности скрытого мастита по долям вымени было зафиксировано снижение количества четвертей со скрытым маститом в опытной группе </w:t>
      </w:r>
      <w:r w:rsidR="002E02DF">
        <w:rPr>
          <w:rFonts w:ascii="Times New Roman" w:hAnsi="Times New Roman" w:cs="Times New Roman"/>
          <w:sz w:val="28"/>
          <w:szCs w:val="28"/>
        </w:rPr>
        <w:t>в  течение 3- месяцев использования средств в 3,6 раза, с одновременным увеличением количества четвертей с отрицательной реакцией в 1,3 раза.</w:t>
      </w:r>
    </w:p>
    <w:p w:rsidR="007328C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CA" w:rsidRDefault="007328CA" w:rsidP="007328C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9300" cy="4880344"/>
            <wp:effectExtent l="19050" t="0" r="133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ABA">
        <w:rPr>
          <w:rFonts w:ascii="Times New Roman" w:hAnsi="Times New Roman" w:cs="Times New Roman"/>
          <w:sz w:val="26"/>
          <w:szCs w:val="26"/>
        </w:rPr>
        <w:t>Рис. 3. – Уровень заболеваемости маститом по четвертям вымени у коров опытной группы.</w:t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238D" w:rsidRPr="00A27ABA" w:rsidRDefault="00E0238D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>Таким образом,</w:t>
      </w:r>
      <w:r w:rsidR="00BC4236" w:rsidRPr="00A27ABA">
        <w:rPr>
          <w:rFonts w:ascii="Times New Roman" w:hAnsi="Times New Roman" w:cs="Times New Roman"/>
          <w:sz w:val="27"/>
          <w:szCs w:val="27"/>
        </w:rPr>
        <w:t xml:space="preserve"> </w:t>
      </w:r>
      <w:r w:rsidRPr="00A27ABA">
        <w:rPr>
          <w:rFonts w:ascii="Times New Roman" w:hAnsi="Times New Roman" w:cs="Times New Roman"/>
          <w:sz w:val="27"/>
          <w:szCs w:val="27"/>
        </w:rPr>
        <w:t xml:space="preserve">применение обработки молочной железы средствами PIP </w:t>
      </w:r>
      <w:proofErr w:type="spellStart"/>
      <w:r w:rsidRPr="00A27ABA">
        <w:rPr>
          <w:rFonts w:ascii="Times New Roman" w:hAnsi="Times New Roman" w:cs="Times New Roman"/>
          <w:sz w:val="27"/>
          <w:szCs w:val="27"/>
        </w:rPr>
        <w:t>Plus</w:t>
      </w:r>
      <w:proofErr w:type="spellEnd"/>
      <w:r w:rsidRPr="00A27A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27ABA">
        <w:rPr>
          <w:rFonts w:ascii="Times New Roman" w:hAnsi="Times New Roman" w:cs="Times New Roman"/>
          <w:sz w:val="27"/>
          <w:szCs w:val="27"/>
        </w:rPr>
        <w:t>Water</w:t>
      </w:r>
      <w:proofErr w:type="spellEnd"/>
      <w:r w:rsidR="00F45060" w:rsidRPr="00A27ABA">
        <w:rPr>
          <w:rFonts w:ascii="Times New Roman" w:hAnsi="Times New Roman" w:cs="Times New Roman"/>
          <w:sz w:val="27"/>
          <w:szCs w:val="27"/>
        </w:rPr>
        <w:t xml:space="preserve"> и</w:t>
      </w:r>
      <w:r w:rsidRPr="00A27ABA">
        <w:rPr>
          <w:rFonts w:ascii="Times New Roman" w:hAnsi="Times New Roman" w:cs="Times New Roman"/>
          <w:sz w:val="27"/>
          <w:szCs w:val="27"/>
        </w:rPr>
        <w:t xml:space="preserve"> PIP </w:t>
      </w:r>
      <w:proofErr w:type="spellStart"/>
      <w:r w:rsidRPr="00A27ABA">
        <w:rPr>
          <w:rFonts w:ascii="Times New Roman" w:hAnsi="Times New Roman" w:cs="Times New Roman"/>
          <w:sz w:val="27"/>
          <w:szCs w:val="27"/>
        </w:rPr>
        <w:t>Cow</w:t>
      </w:r>
      <w:proofErr w:type="spellEnd"/>
      <w:r w:rsidRPr="00A27A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27ABA">
        <w:rPr>
          <w:rFonts w:ascii="Times New Roman" w:hAnsi="Times New Roman" w:cs="Times New Roman"/>
          <w:sz w:val="27"/>
          <w:szCs w:val="27"/>
        </w:rPr>
        <w:t>Teat</w:t>
      </w:r>
      <w:proofErr w:type="spellEnd"/>
      <w:r w:rsidRPr="00A27A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27ABA">
        <w:rPr>
          <w:rFonts w:ascii="Times New Roman" w:hAnsi="Times New Roman" w:cs="Times New Roman"/>
          <w:sz w:val="27"/>
          <w:szCs w:val="27"/>
        </w:rPr>
        <w:t>Cleaner</w:t>
      </w:r>
      <w:proofErr w:type="spellEnd"/>
      <w:r w:rsidRPr="00A27ABA">
        <w:rPr>
          <w:rFonts w:ascii="Times New Roman" w:hAnsi="Times New Roman" w:cs="Times New Roman"/>
          <w:sz w:val="27"/>
          <w:szCs w:val="27"/>
        </w:rPr>
        <w:t xml:space="preserve"> позволяет в течение одного месяца снизить</w:t>
      </w:r>
      <w:r w:rsidR="00BC4236" w:rsidRPr="00A27ABA">
        <w:rPr>
          <w:rFonts w:ascii="Times New Roman" w:hAnsi="Times New Roman" w:cs="Times New Roman"/>
          <w:sz w:val="27"/>
          <w:szCs w:val="27"/>
        </w:rPr>
        <w:t xml:space="preserve"> распространени</w:t>
      </w:r>
      <w:r w:rsidRPr="00A27ABA">
        <w:rPr>
          <w:rFonts w:ascii="Times New Roman" w:hAnsi="Times New Roman" w:cs="Times New Roman"/>
          <w:sz w:val="27"/>
          <w:szCs w:val="27"/>
        </w:rPr>
        <w:t>е</w:t>
      </w:r>
      <w:r w:rsidR="00BC4236" w:rsidRPr="00A27ABA">
        <w:rPr>
          <w:rFonts w:ascii="Times New Roman" w:hAnsi="Times New Roman" w:cs="Times New Roman"/>
          <w:sz w:val="27"/>
          <w:szCs w:val="27"/>
        </w:rPr>
        <w:t xml:space="preserve"> в стаде скрытого мастита</w:t>
      </w:r>
      <w:r w:rsidR="002E02DF" w:rsidRPr="00A27ABA">
        <w:rPr>
          <w:rFonts w:ascii="Times New Roman" w:hAnsi="Times New Roman" w:cs="Times New Roman"/>
          <w:sz w:val="27"/>
          <w:szCs w:val="27"/>
        </w:rPr>
        <w:t xml:space="preserve"> и поддерживать его на низком уровне</w:t>
      </w:r>
      <w:r w:rsidRPr="00A27ABA">
        <w:rPr>
          <w:rFonts w:ascii="Times New Roman" w:hAnsi="Times New Roman" w:cs="Times New Roman"/>
          <w:sz w:val="27"/>
          <w:szCs w:val="27"/>
        </w:rPr>
        <w:t>.</w:t>
      </w:r>
      <w:r w:rsidR="00BC4236" w:rsidRPr="00A27AB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264E" w:rsidRPr="00A27ABA" w:rsidRDefault="00E0238D" w:rsidP="00F45060">
      <w:pPr>
        <w:spacing w:line="30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 xml:space="preserve">В то же время, выраженного влияния на уровень заболеваемости </w:t>
      </w:r>
      <w:r w:rsidR="00BC4236" w:rsidRPr="00A27ABA">
        <w:rPr>
          <w:rFonts w:ascii="Times New Roman" w:hAnsi="Times New Roman" w:cs="Times New Roman"/>
          <w:sz w:val="27"/>
          <w:szCs w:val="27"/>
        </w:rPr>
        <w:t xml:space="preserve">животных клиническими формами </w:t>
      </w:r>
      <w:r w:rsidR="005034C8" w:rsidRPr="00A27ABA">
        <w:rPr>
          <w:rFonts w:ascii="Times New Roman" w:hAnsi="Times New Roman" w:cs="Times New Roman"/>
          <w:sz w:val="27"/>
          <w:szCs w:val="27"/>
        </w:rPr>
        <w:t>воспаления молочной железы</w:t>
      </w:r>
      <w:r w:rsidRPr="00A27ABA">
        <w:rPr>
          <w:rFonts w:ascii="Times New Roman" w:hAnsi="Times New Roman" w:cs="Times New Roman"/>
          <w:sz w:val="27"/>
          <w:szCs w:val="27"/>
        </w:rPr>
        <w:t xml:space="preserve"> </w:t>
      </w:r>
      <w:r w:rsidR="005034C8" w:rsidRPr="00A27ABA">
        <w:rPr>
          <w:rFonts w:ascii="Times New Roman" w:hAnsi="Times New Roman" w:cs="Times New Roman"/>
          <w:sz w:val="27"/>
          <w:szCs w:val="27"/>
        </w:rPr>
        <w:t xml:space="preserve">за этот период </w:t>
      </w:r>
      <w:r w:rsidRPr="00A27ABA">
        <w:rPr>
          <w:rFonts w:ascii="Times New Roman" w:hAnsi="Times New Roman" w:cs="Times New Roman"/>
          <w:sz w:val="27"/>
          <w:szCs w:val="27"/>
        </w:rPr>
        <w:t>профилактическая обработка не оказала.</w:t>
      </w:r>
      <w:r w:rsidR="002E02DF" w:rsidRPr="00A27ABA">
        <w:rPr>
          <w:rFonts w:ascii="Times New Roman" w:hAnsi="Times New Roman" w:cs="Times New Roman"/>
          <w:sz w:val="27"/>
          <w:szCs w:val="27"/>
        </w:rPr>
        <w:t xml:space="preserve"> Уровень клинических маститов находится в пределах 4-5%.</w:t>
      </w:r>
      <w:r w:rsidRPr="00A27ABA">
        <w:rPr>
          <w:rFonts w:ascii="Times New Roman" w:hAnsi="Times New Roman" w:cs="Times New Roman"/>
          <w:sz w:val="27"/>
          <w:szCs w:val="27"/>
        </w:rPr>
        <w:t xml:space="preserve"> </w:t>
      </w:r>
      <w:r w:rsidR="005034C8" w:rsidRPr="00A27ABA">
        <w:rPr>
          <w:rFonts w:ascii="Times New Roman" w:hAnsi="Times New Roman" w:cs="Times New Roman"/>
          <w:sz w:val="27"/>
          <w:szCs w:val="27"/>
        </w:rPr>
        <w:t>Однако снижение уровня скрытых маститов и предмаститных состояний может положительно повлиять на здоровье вымени животных в дальнейшем</w:t>
      </w:r>
      <w:r w:rsidR="005034C8" w:rsidRPr="00A27ABA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F6586D" w:rsidRPr="00A27ABA" w:rsidRDefault="00F6586D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>В контрольной группе отмечено увеличение количества четвертей с положительной и резко-положительной реакцией в 2,1 раза (с 69 до 84,5%), при сокращении количества четвертей с отрицательной реа</w:t>
      </w:r>
      <w:r w:rsidR="007328CA" w:rsidRPr="00A27ABA">
        <w:rPr>
          <w:rFonts w:ascii="Times New Roman" w:hAnsi="Times New Roman" w:cs="Times New Roman"/>
          <w:sz w:val="27"/>
          <w:szCs w:val="27"/>
        </w:rPr>
        <w:t>кцией в 1,6 раза</w:t>
      </w:r>
      <w:proofErr w:type="gramStart"/>
      <w:r w:rsidR="007328CA" w:rsidRPr="00A27AB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7328CA" w:rsidRPr="00A27ABA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="007328CA" w:rsidRPr="00A27AB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7328CA" w:rsidRPr="00A27ABA">
        <w:rPr>
          <w:rFonts w:ascii="Times New Roman" w:hAnsi="Times New Roman" w:cs="Times New Roman"/>
          <w:sz w:val="27"/>
          <w:szCs w:val="27"/>
        </w:rPr>
        <w:t xml:space="preserve"> 45 до 28%).</w:t>
      </w:r>
    </w:p>
    <w:p w:rsidR="007328CA" w:rsidRDefault="007328CA" w:rsidP="007328C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4855" cy="4982225"/>
            <wp:effectExtent l="19050" t="0" r="17795" b="887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ABA">
        <w:rPr>
          <w:rFonts w:ascii="Times New Roman" w:hAnsi="Times New Roman" w:cs="Times New Roman"/>
          <w:sz w:val="26"/>
          <w:szCs w:val="26"/>
        </w:rPr>
        <w:t>Рис. 4 – Уровень заболеваемости маститом по четвертям вымени у коров контрольной группы.</w:t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43AC" w:rsidRPr="00A27ABA" w:rsidRDefault="003843AC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>Одним из критериев эффективности примен</w:t>
      </w:r>
      <w:bookmarkStart w:id="0" w:name="_GoBack"/>
      <w:bookmarkEnd w:id="0"/>
      <w:r w:rsidRPr="00A27ABA">
        <w:rPr>
          <w:rFonts w:ascii="Times New Roman" w:hAnsi="Times New Roman" w:cs="Times New Roman"/>
          <w:sz w:val="27"/>
          <w:szCs w:val="27"/>
        </w:rPr>
        <w:t>ения пробиотических средств серии PIP для обработки молочной железы рассматривалось состояние сосков вымени. До начала применения указанных средств уровень гиперкератоза у животных опытной группы составил 37,6% от общего количества исследованных сосков</w:t>
      </w:r>
      <w:r w:rsidR="0005632D" w:rsidRPr="00A27ABA">
        <w:rPr>
          <w:rFonts w:ascii="Times New Roman" w:hAnsi="Times New Roman" w:cs="Times New Roman"/>
          <w:sz w:val="27"/>
          <w:szCs w:val="27"/>
        </w:rPr>
        <w:t>, при этом поражение в виде осложненной формы гиперкератоза составило 15,2% (табл. 1)</w:t>
      </w:r>
      <w:r w:rsidRPr="00A27ABA">
        <w:rPr>
          <w:rFonts w:ascii="Times New Roman" w:hAnsi="Times New Roman" w:cs="Times New Roman"/>
          <w:sz w:val="27"/>
          <w:szCs w:val="27"/>
        </w:rPr>
        <w:t xml:space="preserve">. Изменения в виде незначительной шероховатости и рельефной круговой мозоли рассматривался нами как вариант нормы при машинном доении. </w:t>
      </w:r>
    </w:p>
    <w:p w:rsidR="007328CA" w:rsidRPr="00A27ABA" w:rsidRDefault="00F6586D" w:rsidP="00A27ABA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 xml:space="preserve">На фоне применения пробиотических продуктов отмечалось постепенное восстановление тканей в области  верхушки соска и отслоение многослойной </w:t>
      </w:r>
      <w:proofErr w:type="spellStart"/>
      <w:r w:rsidRPr="00A27ABA">
        <w:rPr>
          <w:rFonts w:ascii="Times New Roman" w:hAnsi="Times New Roman" w:cs="Times New Roman"/>
          <w:sz w:val="27"/>
          <w:szCs w:val="27"/>
        </w:rPr>
        <w:t>кератиновой</w:t>
      </w:r>
      <w:proofErr w:type="spellEnd"/>
      <w:r w:rsidRPr="00A27ABA">
        <w:rPr>
          <w:rFonts w:ascii="Times New Roman" w:hAnsi="Times New Roman" w:cs="Times New Roman"/>
          <w:sz w:val="27"/>
          <w:szCs w:val="27"/>
        </w:rPr>
        <w:t xml:space="preserve"> мозоли. Таким </w:t>
      </w:r>
      <w:proofErr w:type="gramStart"/>
      <w:r w:rsidRPr="00A27ABA">
        <w:rPr>
          <w:rFonts w:ascii="Times New Roman" w:hAnsi="Times New Roman" w:cs="Times New Roman"/>
          <w:sz w:val="27"/>
          <w:szCs w:val="27"/>
        </w:rPr>
        <w:t>образом</w:t>
      </w:r>
      <w:proofErr w:type="gramEnd"/>
      <w:r w:rsidRPr="00A27ABA">
        <w:rPr>
          <w:rFonts w:ascii="Times New Roman" w:hAnsi="Times New Roman" w:cs="Times New Roman"/>
          <w:sz w:val="27"/>
          <w:szCs w:val="27"/>
        </w:rPr>
        <w:t xml:space="preserve"> через 3 месяца использования средств уровень поражений в виде осложненного радиальными трещинами гиперкератоза снизился в 8,4 раз, в виде неосложненной формы гиперкератоза – в 2 раза, количество сосков </w:t>
      </w:r>
      <w:r w:rsidR="00DB0A37" w:rsidRPr="00A27ABA">
        <w:rPr>
          <w:rFonts w:ascii="Times New Roman" w:hAnsi="Times New Roman" w:cs="Times New Roman"/>
          <w:sz w:val="27"/>
          <w:szCs w:val="27"/>
        </w:rPr>
        <w:t xml:space="preserve">не имеющих патологических изменений увеличилось в 4,5 раза. </w:t>
      </w:r>
    </w:p>
    <w:p w:rsidR="007328CA" w:rsidRDefault="007328CA" w:rsidP="007328C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4856" cy="5007935"/>
            <wp:effectExtent l="19050" t="0" r="17794" b="221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ABA">
        <w:rPr>
          <w:rFonts w:ascii="Times New Roman" w:hAnsi="Times New Roman" w:cs="Times New Roman"/>
          <w:sz w:val="26"/>
          <w:szCs w:val="26"/>
        </w:rPr>
        <w:t xml:space="preserve">Рис. 5 – Уровень распространения заболеваний сосков вымени у коров опытной группы. </w:t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009C4" w:rsidRPr="00A27ABA" w:rsidRDefault="001820AD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 xml:space="preserve">Следующим критерием оценки эффективности пробиотических средств являлся уровень соматических клеток в сборном молоке. До начала исследования количество соматических клеток находилось на уровне 660 тыс./мл. </w:t>
      </w:r>
    </w:p>
    <w:p w:rsidR="001820AD" w:rsidRPr="00A27ABA" w:rsidRDefault="001820AD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sz w:val="27"/>
          <w:szCs w:val="27"/>
        </w:rPr>
        <w:t xml:space="preserve">Анализ проб молока из молочного танка </w:t>
      </w:r>
      <w:r w:rsidR="004F15D4" w:rsidRPr="00A27ABA">
        <w:rPr>
          <w:rFonts w:ascii="Times New Roman" w:hAnsi="Times New Roman" w:cs="Times New Roman"/>
          <w:sz w:val="27"/>
          <w:szCs w:val="27"/>
        </w:rPr>
        <w:t>опытной</w:t>
      </w:r>
      <w:r w:rsidRPr="00A27ABA">
        <w:rPr>
          <w:rFonts w:ascii="Times New Roman" w:hAnsi="Times New Roman" w:cs="Times New Roman"/>
          <w:sz w:val="27"/>
          <w:szCs w:val="27"/>
        </w:rPr>
        <w:t xml:space="preserve"> </w:t>
      </w:r>
      <w:r w:rsidR="004F15D4" w:rsidRPr="00A27ABA">
        <w:rPr>
          <w:rFonts w:ascii="Times New Roman" w:hAnsi="Times New Roman" w:cs="Times New Roman"/>
          <w:sz w:val="27"/>
          <w:szCs w:val="27"/>
        </w:rPr>
        <w:t xml:space="preserve">группы через 7 дней от начала пробиотической обработки вымени показал уровень соматических клеток 453 тыс./мл, в контрольной группе – 555 тыс./мл. Через 14 дней обработки уровень соматических клеток в опытной группе составил 388 тыс./мл, а в контрольной – 599 тыс./мл, что в 1,5 раза </w:t>
      </w:r>
      <w:proofErr w:type="gramStart"/>
      <w:r w:rsidR="004F15D4" w:rsidRPr="00A27ABA">
        <w:rPr>
          <w:rFonts w:ascii="Times New Roman" w:hAnsi="Times New Roman" w:cs="Times New Roman"/>
          <w:sz w:val="27"/>
          <w:szCs w:val="27"/>
        </w:rPr>
        <w:t>выше</w:t>
      </w:r>
      <w:proofErr w:type="gramEnd"/>
      <w:r w:rsidR="004F15D4" w:rsidRPr="00A27ABA">
        <w:rPr>
          <w:rFonts w:ascii="Times New Roman" w:hAnsi="Times New Roman" w:cs="Times New Roman"/>
          <w:sz w:val="27"/>
          <w:szCs w:val="27"/>
        </w:rPr>
        <w:t xml:space="preserve"> чем в опытной. </w:t>
      </w:r>
      <w:proofErr w:type="gramStart"/>
      <w:r w:rsidR="004F15D4" w:rsidRPr="00A27ABA">
        <w:rPr>
          <w:rFonts w:ascii="Times New Roman" w:hAnsi="Times New Roman" w:cs="Times New Roman"/>
          <w:sz w:val="27"/>
          <w:szCs w:val="27"/>
        </w:rPr>
        <w:t>Через 21 день обработки продолжала сохраняться положительная тенденция, в опытной группе количество соматических клеток определялось на уровне 385 тыс./мл, а в контр</w:t>
      </w:r>
      <w:r w:rsidR="005A53D2" w:rsidRPr="00A27ABA">
        <w:rPr>
          <w:rFonts w:ascii="Times New Roman" w:hAnsi="Times New Roman" w:cs="Times New Roman"/>
          <w:sz w:val="27"/>
          <w:szCs w:val="27"/>
        </w:rPr>
        <w:t xml:space="preserve">ольной – на уровне 660 тыс./мл, данные показатели сохранились к 28 дню использования средств </w:t>
      </w:r>
      <w:r w:rsidR="003009C4" w:rsidRPr="00A27ABA">
        <w:rPr>
          <w:rFonts w:ascii="Times New Roman" w:hAnsi="Times New Roman" w:cs="Times New Roman"/>
          <w:sz w:val="27"/>
          <w:szCs w:val="27"/>
        </w:rPr>
        <w:t>–</w:t>
      </w:r>
      <w:r w:rsidR="005A53D2" w:rsidRPr="00A27ABA">
        <w:rPr>
          <w:rFonts w:ascii="Times New Roman" w:hAnsi="Times New Roman" w:cs="Times New Roman"/>
          <w:sz w:val="27"/>
          <w:szCs w:val="27"/>
        </w:rPr>
        <w:t xml:space="preserve"> </w:t>
      </w:r>
      <w:r w:rsidR="003009C4" w:rsidRPr="00A27ABA">
        <w:rPr>
          <w:rFonts w:ascii="Times New Roman" w:hAnsi="Times New Roman" w:cs="Times New Roman"/>
          <w:sz w:val="27"/>
          <w:szCs w:val="27"/>
        </w:rPr>
        <w:t xml:space="preserve">365 тыс./мл в опытной группе, 665 тыс./мл – в контрольной. </w:t>
      </w:r>
      <w:proofErr w:type="gramEnd"/>
    </w:p>
    <w:p w:rsidR="007328C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CA" w:rsidRDefault="007328CA" w:rsidP="007328C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67941"/>
            <wp:effectExtent l="19050" t="0" r="222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28CA" w:rsidRPr="00A27ABA" w:rsidRDefault="007328C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ABA">
        <w:rPr>
          <w:rFonts w:ascii="Times New Roman" w:hAnsi="Times New Roman" w:cs="Times New Roman"/>
          <w:sz w:val="26"/>
          <w:szCs w:val="26"/>
        </w:rPr>
        <w:t xml:space="preserve">Рис. </w:t>
      </w:r>
      <w:r w:rsidR="00FF73A0" w:rsidRPr="00A27ABA">
        <w:rPr>
          <w:rFonts w:ascii="Times New Roman" w:hAnsi="Times New Roman" w:cs="Times New Roman"/>
          <w:sz w:val="26"/>
          <w:szCs w:val="26"/>
        </w:rPr>
        <w:t>6. – Изменение уровня соматических клеток в молоке.</w:t>
      </w:r>
    </w:p>
    <w:p w:rsidR="00FF73A0" w:rsidRDefault="00FF73A0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3AC" w:rsidRPr="00A27ABA" w:rsidRDefault="004F15D4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ABA">
        <w:rPr>
          <w:rFonts w:ascii="Times New Roman" w:hAnsi="Times New Roman" w:cs="Times New Roman"/>
          <w:b/>
          <w:sz w:val="27"/>
          <w:szCs w:val="27"/>
        </w:rPr>
        <w:t>Выводы.</w:t>
      </w:r>
      <w:r w:rsidR="00A04FED" w:rsidRPr="00A27AB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4FED" w:rsidRPr="00A27ABA">
        <w:rPr>
          <w:rFonts w:ascii="Times New Roman" w:hAnsi="Times New Roman" w:cs="Times New Roman"/>
          <w:sz w:val="27"/>
          <w:szCs w:val="27"/>
        </w:rPr>
        <w:t xml:space="preserve">На основании полученных результатов можно заключить, что комплекс пробиотических средств серии PIP оказывает положительное влияние на ткани молочной железы и особенно сосков вымени. </w:t>
      </w:r>
      <w:r w:rsidRPr="00A27ABA">
        <w:rPr>
          <w:rFonts w:ascii="Times New Roman" w:hAnsi="Times New Roman" w:cs="Times New Roman"/>
          <w:sz w:val="27"/>
          <w:szCs w:val="27"/>
        </w:rPr>
        <w:t xml:space="preserve">Применение указанных средств </w:t>
      </w:r>
      <w:r w:rsidR="00B36339" w:rsidRPr="00A27ABA">
        <w:rPr>
          <w:rFonts w:ascii="Times New Roman" w:hAnsi="Times New Roman" w:cs="Times New Roman"/>
          <w:sz w:val="27"/>
          <w:szCs w:val="27"/>
        </w:rPr>
        <w:t xml:space="preserve">позволяет сократить количество животных в стаде, имеющих </w:t>
      </w:r>
      <w:r w:rsidR="00A04FED" w:rsidRPr="00A27ABA">
        <w:rPr>
          <w:rFonts w:ascii="Times New Roman" w:hAnsi="Times New Roman" w:cs="Times New Roman"/>
          <w:sz w:val="27"/>
          <w:szCs w:val="27"/>
        </w:rPr>
        <w:t>суб</w:t>
      </w:r>
      <w:r w:rsidR="00B36339" w:rsidRPr="00A27ABA">
        <w:rPr>
          <w:rFonts w:ascii="Times New Roman" w:hAnsi="Times New Roman" w:cs="Times New Roman"/>
          <w:sz w:val="27"/>
          <w:szCs w:val="27"/>
        </w:rPr>
        <w:t>клинический мастит, так как пробиотические агенты препятствуют размножению патогенных микроорганизмов на коже сосков и вымени. Данные средства оказывают положительное влияние на состояние сосков молочной железы. Уровень поражения коров тяжелой формой гиперкератоза, сопровождающейся радиальными трещинами и зиянием соскового канала</w:t>
      </w:r>
      <w:r w:rsidR="00A04FED" w:rsidRPr="00A27ABA">
        <w:rPr>
          <w:rFonts w:ascii="Times New Roman" w:hAnsi="Times New Roman" w:cs="Times New Roman"/>
          <w:sz w:val="27"/>
          <w:szCs w:val="27"/>
        </w:rPr>
        <w:t xml:space="preserve">, </w:t>
      </w:r>
      <w:r w:rsidR="00B36339" w:rsidRPr="00A27ABA">
        <w:rPr>
          <w:rFonts w:ascii="Times New Roman" w:hAnsi="Times New Roman" w:cs="Times New Roman"/>
          <w:sz w:val="27"/>
          <w:szCs w:val="27"/>
        </w:rPr>
        <w:t xml:space="preserve">снизился в </w:t>
      </w:r>
      <w:r w:rsidR="00DB0A37" w:rsidRPr="00A27ABA">
        <w:rPr>
          <w:rFonts w:ascii="Times New Roman" w:hAnsi="Times New Roman" w:cs="Times New Roman"/>
          <w:sz w:val="27"/>
          <w:szCs w:val="27"/>
        </w:rPr>
        <w:t>8,5</w:t>
      </w:r>
      <w:r w:rsidR="00B36339" w:rsidRPr="00A27ABA">
        <w:rPr>
          <w:rFonts w:ascii="Times New Roman" w:hAnsi="Times New Roman" w:cs="Times New Roman"/>
          <w:sz w:val="27"/>
          <w:szCs w:val="27"/>
        </w:rPr>
        <w:t xml:space="preserve"> раз, с одновременным ростом количества сосков, не имеющих патологических изменений. В совокупности эти факторы оказывают влияние на качество получаемого молока. На фоне применения пробиотических средств</w:t>
      </w:r>
      <w:r w:rsidR="00A04FED" w:rsidRPr="00A27ABA">
        <w:rPr>
          <w:rFonts w:ascii="Times New Roman" w:hAnsi="Times New Roman" w:cs="Times New Roman"/>
          <w:sz w:val="27"/>
          <w:szCs w:val="27"/>
        </w:rPr>
        <w:t xml:space="preserve"> фирмы Chrisal из серии PIP </w:t>
      </w:r>
      <w:r w:rsidR="00B36339" w:rsidRPr="00A27ABA">
        <w:rPr>
          <w:rFonts w:ascii="Times New Roman" w:hAnsi="Times New Roman" w:cs="Times New Roman"/>
          <w:sz w:val="27"/>
          <w:szCs w:val="27"/>
        </w:rPr>
        <w:t xml:space="preserve">для обработки вымени </w:t>
      </w:r>
      <w:r w:rsidR="00A04FED" w:rsidRPr="00A27ABA">
        <w:rPr>
          <w:rFonts w:ascii="Times New Roman" w:hAnsi="Times New Roman" w:cs="Times New Roman"/>
          <w:sz w:val="27"/>
          <w:szCs w:val="27"/>
        </w:rPr>
        <w:t xml:space="preserve"> коров </w:t>
      </w:r>
      <w:r w:rsidR="00B36339" w:rsidRPr="00A27ABA">
        <w:rPr>
          <w:rFonts w:ascii="Times New Roman" w:hAnsi="Times New Roman" w:cs="Times New Roman"/>
          <w:sz w:val="27"/>
          <w:szCs w:val="27"/>
        </w:rPr>
        <w:t xml:space="preserve">происходит снижение количества соматических клеток в сборном молоке в 1,5-1,7 раза. </w:t>
      </w:r>
    </w:p>
    <w:p w:rsidR="00A27ABA" w:rsidRDefault="00A27ABA" w:rsidP="00A27ABA">
      <w:pPr>
        <w:rPr>
          <w:rFonts w:ascii="Times New Roman" w:hAnsi="Times New Roman" w:cs="Times New Roman"/>
          <w:b/>
          <w:sz w:val="30"/>
          <w:szCs w:val="30"/>
        </w:rPr>
      </w:pPr>
    </w:p>
    <w:p w:rsidR="00A27ABA" w:rsidRDefault="00A27ABA" w:rsidP="00A27ABA">
      <w:pPr>
        <w:rPr>
          <w:rFonts w:ascii="Times New Roman" w:hAnsi="Times New Roman" w:cs="Times New Roman"/>
          <w:b/>
          <w:sz w:val="30"/>
          <w:szCs w:val="30"/>
        </w:rPr>
      </w:pPr>
    </w:p>
    <w:p w:rsidR="00A27ABA" w:rsidRPr="00603232" w:rsidRDefault="00A27ABA" w:rsidP="00A27ABA">
      <w:pPr>
        <w:rPr>
          <w:rFonts w:ascii="Times New Roman" w:hAnsi="Times New Roman" w:cs="Times New Roman"/>
          <w:b/>
          <w:sz w:val="30"/>
          <w:szCs w:val="30"/>
        </w:rPr>
      </w:pPr>
      <w:r w:rsidRPr="00603232">
        <w:rPr>
          <w:rFonts w:ascii="Times New Roman" w:hAnsi="Times New Roman" w:cs="Times New Roman"/>
          <w:b/>
          <w:sz w:val="30"/>
          <w:szCs w:val="30"/>
        </w:rPr>
        <w:t>Данн</w:t>
      </w:r>
      <w:r>
        <w:rPr>
          <w:rFonts w:ascii="Times New Roman" w:hAnsi="Times New Roman" w:cs="Times New Roman"/>
          <w:b/>
          <w:sz w:val="30"/>
          <w:szCs w:val="30"/>
        </w:rPr>
        <w:t>ым</w:t>
      </w:r>
      <w:r w:rsidRPr="00603232">
        <w:rPr>
          <w:rFonts w:ascii="Times New Roman" w:hAnsi="Times New Roman" w:cs="Times New Roman"/>
          <w:b/>
          <w:sz w:val="30"/>
          <w:szCs w:val="30"/>
        </w:rPr>
        <w:t xml:space="preserve"> исследование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60323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руководи</w:t>
      </w:r>
      <w:r w:rsidRPr="00603232">
        <w:rPr>
          <w:rFonts w:ascii="Times New Roman" w:hAnsi="Times New Roman" w:cs="Times New Roman"/>
          <w:b/>
          <w:sz w:val="30"/>
          <w:szCs w:val="30"/>
        </w:rPr>
        <w:t xml:space="preserve">ла: </w:t>
      </w:r>
    </w:p>
    <w:p w:rsidR="00A27ABA" w:rsidRPr="00603232" w:rsidRDefault="00A27ABA" w:rsidP="00A27ABA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03232">
        <w:rPr>
          <w:rFonts w:ascii="Times New Roman" w:hAnsi="Times New Roman" w:cs="Times New Roman"/>
          <w:sz w:val="30"/>
          <w:szCs w:val="30"/>
        </w:rPr>
        <w:t>Баркова</w:t>
      </w:r>
      <w:proofErr w:type="spellEnd"/>
      <w:r w:rsidRPr="00603232">
        <w:rPr>
          <w:rFonts w:ascii="Times New Roman" w:hAnsi="Times New Roman" w:cs="Times New Roman"/>
          <w:sz w:val="30"/>
          <w:szCs w:val="30"/>
        </w:rPr>
        <w:t xml:space="preserve"> Анна Сергеевна, </w:t>
      </w:r>
    </w:p>
    <w:p w:rsidR="00A27ABA" w:rsidRDefault="00A27ABA" w:rsidP="00A27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20A15">
        <w:rPr>
          <w:rFonts w:ascii="Times New Roman" w:hAnsi="Times New Roman" w:cs="Times New Roman"/>
          <w:sz w:val="28"/>
          <w:szCs w:val="28"/>
        </w:rPr>
        <w:t>оцент кафедры хирургии и акушерства</w:t>
      </w:r>
      <w:r w:rsidRPr="0060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A15">
        <w:rPr>
          <w:rFonts w:ascii="Times New Roman" w:hAnsi="Times New Roman" w:cs="Times New Roman"/>
          <w:sz w:val="28"/>
          <w:szCs w:val="28"/>
        </w:rPr>
        <w:t>УрГСХА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7ABA" w:rsidRDefault="00A27ABA" w:rsidP="00A27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0A15">
        <w:rPr>
          <w:rFonts w:ascii="Times New Roman" w:hAnsi="Times New Roman" w:cs="Times New Roman"/>
          <w:sz w:val="28"/>
          <w:szCs w:val="28"/>
        </w:rPr>
        <w:t>андидат ветеринарных наук.</w:t>
      </w:r>
    </w:p>
    <w:p w:rsidR="00A27ABA" w:rsidRPr="00920A15" w:rsidRDefault="00A27ABA" w:rsidP="00A27ABA">
      <w:pPr>
        <w:rPr>
          <w:rFonts w:ascii="Times New Roman" w:hAnsi="Times New Roman" w:cs="Times New Roman"/>
          <w:sz w:val="28"/>
          <w:szCs w:val="28"/>
        </w:rPr>
      </w:pPr>
    </w:p>
    <w:p w:rsidR="00A27ABA" w:rsidRDefault="00A27ABA" w:rsidP="00F4506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7ABA" w:rsidSect="00A27AB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C74F4"/>
    <w:rsid w:val="0002537C"/>
    <w:rsid w:val="0005632D"/>
    <w:rsid w:val="00064A76"/>
    <w:rsid w:val="001820AD"/>
    <w:rsid w:val="0018441F"/>
    <w:rsid w:val="001D0CE0"/>
    <w:rsid w:val="002353F8"/>
    <w:rsid w:val="00241B2C"/>
    <w:rsid w:val="00242784"/>
    <w:rsid w:val="00260386"/>
    <w:rsid w:val="002D7A87"/>
    <w:rsid w:val="002E02DF"/>
    <w:rsid w:val="003009C4"/>
    <w:rsid w:val="003301BF"/>
    <w:rsid w:val="003452C8"/>
    <w:rsid w:val="00357817"/>
    <w:rsid w:val="003843AC"/>
    <w:rsid w:val="00416D4F"/>
    <w:rsid w:val="0047729A"/>
    <w:rsid w:val="004F15D4"/>
    <w:rsid w:val="004F264E"/>
    <w:rsid w:val="005034C8"/>
    <w:rsid w:val="005438BA"/>
    <w:rsid w:val="00583470"/>
    <w:rsid w:val="005A53D2"/>
    <w:rsid w:val="005F7E47"/>
    <w:rsid w:val="00685F6A"/>
    <w:rsid w:val="006A620F"/>
    <w:rsid w:val="006F4837"/>
    <w:rsid w:val="00711535"/>
    <w:rsid w:val="007256A3"/>
    <w:rsid w:val="007328CA"/>
    <w:rsid w:val="00771B64"/>
    <w:rsid w:val="007A2E5A"/>
    <w:rsid w:val="007C74F4"/>
    <w:rsid w:val="00800490"/>
    <w:rsid w:val="008440CC"/>
    <w:rsid w:val="00847686"/>
    <w:rsid w:val="008533E5"/>
    <w:rsid w:val="00893192"/>
    <w:rsid w:val="008C773D"/>
    <w:rsid w:val="008E7323"/>
    <w:rsid w:val="009035A1"/>
    <w:rsid w:val="00905DCB"/>
    <w:rsid w:val="00934898"/>
    <w:rsid w:val="00937E3D"/>
    <w:rsid w:val="0095103F"/>
    <w:rsid w:val="00967A5A"/>
    <w:rsid w:val="0097033D"/>
    <w:rsid w:val="009D1F5F"/>
    <w:rsid w:val="009F0BCF"/>
    <w:rsid w:val="00A04BDE"/>
    <w:rsid w:val="00A04FED"/>
    <w:rsid w:val="00A27ABA"/>
    <w:rsid w:val="00A54E58"/>
    <w:rsid w:val="00A85E2E"/>
    <w:rsid w:val="00AE2868"/>
    <w:rsid w:val="00B01805"/>
    <w:rsid w:val="00B120EC"/>
    <w:rsid w:val="00B36339"/>
    <w:rsid w:val="00B562A9"/>
    <w:rsid w:val="00B94848"/>
    <w:rsid w:val="00BA674D"/>
    <w:rsid w:val="00BB4F04"/>
    <w:rsid w:val="00BC0529"/>
    <w:rsid w:val="00BC4236"/>
    <w:rsid w:val="00C27E17"/>
    <w:rsid w:val="00CE0749"/>
    <w:rsid w:val="00D112A7"/>
    <w:rsid w:val="00D2493F"/>
    <w:rsid w:val="00D337A4"/>
    <w:rsid w:val="00D4581E"/>
    <w:rsid w:val="00DB0A37"/>
    <w:rsid w:val="00DD164C"/>
    <w:rsid w:val="00E0238D"/>
    <w:rsid w:val="00E24B3B"/>
    <w:rsid w:val="00E2562A"/>
    <w:rsid w:val="00E33B41"/>
    <w:rsid w:val="00EA53A8"/>
    <w:rsid w:val="00F30725"/>
    <w:rsid w:val="00F45060"/>
    <w:rsid w:val="00F6586D"/>
    <w:rsid w:val="00F83A2F"/>
    <w:rsid w:val="00F94332"/>
    <w:rsid w:val="00FA7C2F"/>
    <w:rsid w:val="00FC430A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301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77;&#1088;&#1077;&#1073;&#1088;&#1086;&#1089;&#1082;&#1072;\&#1056;&#1072;&#1073;&#1086;&#1095;&#1080;&#1077;\Chrisal%20&#1086;&#1087;&#1099;&#1090;&#1099;\&#1054;&#1087;&#1099;&#1090;%20&#1074;%20&#1065;&#1077;&#1083;&#1082;&#1091;&#1085;&#1077;\2%20&#1084;&#1077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77;&#1088;&#1077;&#1073;&#1088;&#1086;&#1089;&#1082;&#1072;\&#1056;&#1072;&#1073;&#1086;&#1095;&#1080;&#1077;\Chrisal%20&#1086;&#1087;&#1099;&#1090;&#1099;\&#1054;&#1087;&#1099;&#1090;%20&#1074;%20&#1065;&#1077;&#1083;&#1082;&#1091;&#1085;&#1077;\2%20&#1084;&#1077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77;&#1088;&#1077;&#1073;&#1088;&#1086;&#1089;&#1082;&#1072;\&#1056;&#1072;&#1073;&#1086;&#1095;&#1080;&#1077;\Chrisal%20&#1086;&#1087;&#1099;&#1090;&#1099;\&#1054;&#1087;&#1099;&#1090;%20&#1074;%20&#1065;&#1077;&#1083;&#1082;&#1091;&#1085;&#1077;\2%20&#1084;&#1077;&#10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77;&#1088;&#1077;&#1073;&#1088;&#1086;&#1089;&#1082;&#1072;\&#1056;&#1072;&#1073;&#1086;&#1095;&#1080;&#1077;\Chrisal%20&#1086;&#1087;&#1099;&#1090;&#1099;\&#1054;&#1087;&#1099;&#1090;%20&#1074;%20&#1065;&#1077;&#1083;&#1082;&#1091;&#1085;&#1077;\2%20&#1084;&#1077;&#10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77;&#1088;&#1077;&#1073;&#1088;&#1086;&#1089;&#1082;&#1072;\&#1056;&#1072;&#1073;&#1086;&#1095;&#1080;&#1077;\Chrisal%20&#1086;&#1087;&#1099;&#1090;&#1099;\&#1054;&#1087;&#1099;&#1090;%20&#1074;%20&#1065;&#1077;&#1083;&#1082;&#1091;&#1085;&#1077;\2%20&#1084;&#1077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Лист1!$D$8</c:f>
              <c:strCache>
                <c:ptCount val="1"/>
                <c:pt idx="0">
                  <c:v>Отрицательная</c:v>
                </c:pt>
              </c:strCache>
            </c:strRef>
          </c:tx>
          <c:spPr>
            <a:ln w="63500"/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trendline>
            <c:trendlineType val="poly"/>
            <c:order val="2"/>
          </c:trendline>
          <c:cat>
            <c:strRef>
              <c:f>Лист1!$C$9:$C$12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Лист1!$D$9:$D$12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30.2</c:v>
                </c:pt>
                <c:pt idx="2">
                  <c:v>43.6</c:v>
                </c:pt>
                <c:pt idx="3">
                  <c:v>52.2</c:v>
                </c:pt>
              </c:numCache>
            </c:numRef>
          </c:val>
        </c:ser>
        <c:ser>
          <c:idx val="1"/>
          <c:order val="1"/>
          <c:tx>
            <c:strRef>
              <c:f>Лист1!$E$8</c:f>
              <c:strCache>
                <c:ptCount val="1"/>
                <c:pt idx="0">
                  <c:v>Сомнительная</c:v>
                </c:pt>
              </c:strCache>
            </c:strRef>
          </c:tx>
          <c:spPr>
            <a:ln w="63500"/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Лист1!$C$9:$C$12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Лист1!$E$9:$E$12</c:f>
              <c:numCache>
                <c:formatCode>General</c:formatCode>
                <c:ptCount val="4"/>
                <c:pt idx="0">
                  <c:v>21.7</c:v>
                </c:pt>
                <c:pt idx="1">
                  <c:v>30.2</c:v>
                </c:pt>
                <c:pt idx="2">
                  <c:v>31.7</c:v>
                </c:pt>
                <c:pt idx="3">
                  <c:v>27.8</c:v>
                </c:pt>
              </c:numCache>
            </c:numRef>
          </c:val>
        </c:ser>
        <c:ser>
          <c:idx val="2"/>
          <c:order val="2"/>
          <c:tx>
            <c:strRef>
              <c:f>Лист1!$F$8</c:f>
              <c:strCache>
                <c:ptCount val="1"/>
                <c:pt idx="0">
                  <c:v>Положительная</c:v>
                </c:pt>
              </c:strCache>
            </c:strRef>
          </c:tx>
          <c:spPr>
            <a:ln w="63500"/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Лист1!$C$9:$C$12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Лист1!$F$9:$F$12</c:f>
              <c:numCache>
                <c:formatCode>General</c:formatCode>
                <c:ptCount val="4"/>
                <c:pt idx="0">
                  <c:v>31.5</c:v>
                </c:pt>
                <c:pt idx="1">
                  <c:v>27.4</c:v>
                </c:pt>
                <c:pt idx="2">
                  <c:v>15.8</c:v>
                </c:pt>
                <c:pt idx="3">
                  <c:v>11.1</c:v>
                </c:pt>
              </c:numCache>
            </c:numRef>
          </c:val>
        </c:ser>
        <c:ser>
          <c:idx val="3"/>
          <c:order val="3"/>
          <c:tx>
            <c:strRef>
              <c:f>Лист1!$G$8</c:f>
              <c:strCache>
                <c:ptCount val="1"/>
                <c:pt idx="0">
                  <c:v>Резко-положительная</c:v>
                </c:pt>
              </c:strCache>
            </c:strRef>
          </c:tx>
          <c:spPr>
            <a:ln w="63500"/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Лист1!$C$9:$C$12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Лист1!$G$9:$G$12</c:f>
              <c:numCache>
                <c:formatCode>General</c:formatCode>
                <c:ptCount val="4"/>
                <c:pt idx="0">
                  <c:v>27.1</c:v>
                </c:pt>
                <c:pt idx="1">
                  <c:v>12.3</c:v>
                </c:pt>
                <c:pt idx="2">
                  <c:v>8.9</c:v>
                </c:pt>
                <c:pt idx="3">
                  <c:v>8.9</c:v>
                </c:pt>
              </c:numCache>
            </c:numRef>
          </c:val>
        </c:ser>
        <c:axId val="76482432"/>
        <c:axId val="76483968"/>
      </c:barChart>
      <c:catAx>
        <c:axId val="764824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6483968"/>
        <c:crosses val="autoZero"/>
        <c:auto val="1"/>
        <c:lblAlgn val="ctr"/>
        <c:lblOffset val="100"/>
      </c:catAx>
      <c:valAx>
        <c:axId val="76483968"/>
        <c:scaling>
          <c:orientation val="minMax"/>
          <c:max val="55"/>
          <c:min val="5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4824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229221568839901"/>
          <c:y val="2.6426241465856252E-2"/>
          <c:w val="0.81770778431160129"/>
          <c:h val="0.71771439683475291"/>
        </c:manualLayout>
      </c:layout>
      <c:barChart>
        <c:barDir val="col"/>
        <c:grouping val="clustered"/>
        <c:ser>
          <c:idx val="0"/>
          <c:order val="0"/>
          <c:tx>
            <c:strRef>
              <c:f>Лист1!$D$14</c:f>
              <c:strCache>
                <c:ptCount val="1"/>
                <c:pt idx="0">
                  <c:v>Отрицательная</c:v>
                </c:pt>
              </c:strCache>
            </c:strRef>
          </c:tx>
          <c:dLbls>
            <c:showVal val="1"/>
          </c:dLbls>
          <c:trendline>
            <c:trendlineType val="linear"/>
          </c:trendline>
          <c:cat>
            <c:strRef>
              <c:f>Лист1!$C$15:$C$18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применения</c:v>
                </c:pt>
              </c:strCache>
            </c:strRef>
          </c:cat>
          <c:val>
            <c:numRef>
              <c:f>Лист1!$D$15:$D$18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10.200000000000001</c:v>
                </c:pt>
                <c:pt idx="2">
                  <c:v>16.899999999999999</c:v>
                </c:pt>
                <c:pt idx="3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Лист1!$E$14</c:f>
              <c:strCache>
                <c:ptCount val="1"/>
                <c:pt idx="0">
                  <c:v>Сомнительная</c:v>
                </c:pt>
              </c:strCache>
            </c:strRef>
          </c:tx>
          <c:dLbls>
            <c:showVal val="1"/>
          </c:dLbls>
          <c:cat>
            <c:strRef>
              <c:f>Лист1!$C$15:$C$18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применения</c:v>
                </c:pt>
              </c:strCache>
            </c:strRef>
          </c:cat>
          <c:val>
            <c:numRef>
              <c:f>Лист1!$E$15:$E$18</c:f>
              <c:numCache>
                <c:formatCode>General</c:formatCode>
                <c:ptCount val="4"/>
                <c:pt idx="0">
                  <c:v>21.7</c:v>
                </c:pt>
                <c:pt idx="1">
                  <c:v>35.6</c:v>
                </c:pt>
                <c:pt idx="2">
                  <c:v>13.2</c:v>
                </c:pt>
                <c:pt idx="3">
                  <c:v>32.700000000000003</c:v>
                </c:pt>
              </c:numCache>
            </c:numRef>
          </c:val>
        </c:ser>
        <c:ser>
          <c:idx val="2"/>
          <c:order val="2"/>
          <c:tx>
            <c:strRef>
              <c:f>Лист1!$F$14</c:f>
              <c:strCache>
                <c:ptCount val="1"/>
                <c:pt idx="0">
                  <c:v>Положительная</c:v>
                </c:pt>
              </c:strCache>
            </c:strRef>
          </c:tx>
          <c:dLbls>
            <c:showVal val="1"/>
          </c:dLbls>
          <c:cat>
            <c:strRef>
              <c:f>Лист1!$C$15:$C$18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применения</c:v>
                </c:pt>
              </c:strCache>
            </c:strRef>
          </c:cat>
          <c:val>
            <c:numRef>
              <c:f>Лист1!$F$15:$F$18</c:f>
              <c:numCache>
                <c:formatCode>General</c:formatCode>
                <c:ptCount val="4"/>
                <c:pt idx="0">
                  <c:v>31.5</c:v>
                </c:pt>
                <c:pt idx="1">
                  <c:v>38.9</c:v>
                </c:pt>
                <c:pt idx="2">
                  <c:v>45.3</c:v>
                </c:pt>
                <c:pt idx="3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Лист1!$G$14</c:f>
              <c:strCache>
                <c:ptCount val="1"/>
                <c:pt idx="0">
                  <c:v>Резко-положительная</c:v>
                </c:pt>
              </c:strCache>
            </c:strRef>
          </c:tx>
          <c:dLbls>
            <c:showVal val="1"/>
          </c:dLbls>
          <c:cat>
            <c:strRef>
              <c:f>Лист1!$C$15:$C$18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применения</c:v>
                </c:pt>
              </c:strCache>
            </c:strRef>
          </c:cat>
          <c:val>
            <c:numRef>
              <c:f>Лист1!$G$15:$G$18</c:f>
              <c:numCache>
                <c:formatCode>General</c:formatCode>
                <c:ptCount val="4"/>
                <c:pt idx="0">
                  <c:v>27.1</c:v>
                </c:pt>
                <c:pt idx="1">
                  <c:v>15.3</c:v>
                </c:pt>
                <c:pt idx="2">
                  <c:v>24.5</c:v>
                </c:pt>
                <c:pt idx="3">
                  <c:v>26.9</c:v>
                </c:pt>
              </c:numCache>
            </c:numRef>
          </c:val>
        </c:ser>
        <c:axId val="76531200"/>
        <c:axId val="76532736"/>
      </c:barChart>
      <c:catAx>
        <c:axId val="765312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6532736"/>
        <c:crosses val="autoZero"/>
        <c:auto val="1"/>
        <c:lblAlgn val="ctr"/>
        <c:lblOffset val="100"/>
      </c:catAx>
      <c:valAx>
        <c:axId val="76532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5312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970909886264275"/>
          <c:y val="2.829572823624037E-2"/>
          <c:w val="0.80420902979232856"/>
          <c:h val="0.60802820903839072"/>
        </c:manualLayout>
      </c:layout>
      <c:barChart>
        <c:barDir val="col"/>
        <c:grouping val="percentStacked"/>
        <c:ser>
          <c:idx val="0"/>
          <c:order val="0"/>
          <c:tx>
            <c:strRef>
              <c:f>Лист2!$C$3</c:f>
              <c:strCache>
                <c:ptCount val="1"/>
                <c:pt idx="0">
                  <c:v>Отрицательная</c:v>
                </c:pt>
              </c:strCache>
            </c:strRef>
          </c:tx>
          <c:spPr>
            <a:ln w="50800"/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Лист2!$B$4:$B$7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применеия</c:v>
                </c:pt>
              </c:strCache>
            </c:strRef>
          </c:cat>
          <c:val>
            <c:numRef>
              <c:f>Лист2!$C$4:$C$7</c:f>
              <c:numCache>
                <c:formatCode>General</c:formatCode>
                <c:ptCount val="4"/>
                <c:pt idx="0">
                  <c:v>44.9</c:v>
                </c:pt>
                <c:pt idx="1">
                  <c:v>54.7</c:v>
                </c:pt>
                <c:pt idx="2">
                  <c:v>58</c:v>
                </c:pt>
                <c:pt idx="3">
                  <c:v>68.400000000000006</c:v>
                </c:pt>
              </c:numCache>
            </c:numRef>
          </c:val>
        </c:ser>
        <c:ser>
          <c:idx val="1"/>
          <c:order val="1"/>
          <c:tx>
            <c:strRef>
              <c:f>Лист2!$D$3</c:f>
              <c:strCache>
                <c:ptCount val="1"/>
                <c:pt idx="0">
                  <c:v>Сомнительная</c:v>
                </c:pt>
              </c:strCache>
            </c:strRef>
          </c:tx>
          <c:spPr>
            <a:ln w="50800"/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Лист2!$B$4:$B$7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применеия</c:v>
                </c:pt>
              </c:strCache>
            </c:strRef>
          </c:cat>
          <c:val>
            <c:numRef>
              <c:f>Лист2!$D$4:$D$7</c:f>
              <c:numCache>
                <c:formatCode>General</c:formatCode>
                <c:ptCount val="4"/>
                <c:pt idx="0">
                  <c:v>23.9</c:v>
                </c:pt>
                <c:pt idx="1">
                  <c:v>17.7</c:v>
                </c:pt>
                <c:pt idx="2">
                  <c:v>19.100000000000001</c:v>
                </c:pt>
                <c:pt idx="3">
                  <c:v>16.100000000000001</c:v>
                </c:pt>
              </c:numCache>
            </c:numRef>
          </c:val>
        </c:ser>
        <c:ser>
          <c:idx val="2"/>
          <c:order val="2"/>
          <c:tx>
            <c:strRef>
              <c:f>Лист2!$E$3</c:f>
              <c:strCache>
                <c:ptCount val="1"/>
                <c:pt idx="0">
                  <c:v>Положительная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Лист2!$B$4:$B$7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применеия</c:v>
                </c:pt>
              </c:strCache>
            </c:strRef>
          </c:cat>
          <c:val>
            <c:numRef>
              <c:f>Лист2!$E$4:$E$7</c:f>
              <c:numCache>
                <c:formatCode>General</c:formatCode>
                <c:ptCount val="4"/>
                <c:pt idx="0">
                  <c:v>13</c:v>
                </c:pt>
                <c:pt idx="1">
                  <c:v>13.4</c:v>
                </c:pt>
                <c:pt idx="2">
                  <c:v>8.3000000000000007</c:v>
                </c:pt>
                <c:pt idx="3">
                  <c:v>3.6</c:v>
                </c:pt>
              </c:numCache>
            </c:numRef>
          </c:val>
        </c:ser>
        <c:ser>
          <c:idx val="3"/>
          <c:order val="3"/>
          <c:tx>
            <c:strRef>
              <c:f>Лист2!$F$3</c:f>
              <c:strCache>
                <c:ptCount val="1"/>
                <c:pt idx="0">
                  <c:v>Резко-положительная</c:v>
                </c:pt>
              </c:strCache>
            </c:strRef>
          </c:tx>
          <c:cat>
            <c:strRef>
              <c:f>Лист2!$B$4:$B$7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применеия</c:v>
                </c:pt>
              </c:strCache>
            </c:strRef>
          </c:cat>
          <c:val>
            <c:numRef>
              <c:f>Лист2!$F$4:$F$7</c:f>
              <c:numCache>
                <c:formatCode>General</c:formatCode>
                <c:ptCount val="4"/>
                <c:pt idx="0">
                  <c:v>9.2000000000000011</c:v>
                </c:pt>
                <c:pt idx="1">
                  <c:v>3.9</c:v>
                </c:pt>
                <c:pt idx="2">
                  <c:v>3.9</c:v>
                </c:pt>
                <c:pt idx="3">
                  <c:v>2.8</c:v>
                </c:pt>
              </c:numCache>
            </c:numRef>
          </c:val>
        </c:ser>
        <c:ser>
          <c:idx val="4"/>
          <c:order val="4"/>
          <c:tx>
            <c:strRef>
              <c:f>Лист2!$G$3</c:f>
              <c:strCache>
                <c:ptCount val="1"/>
                <c:pt idx="0">
                  <c:v>Клинический мастит</c:v>
                </c:pt>
              </c:strCache>
            </c:strRef>
          </c:tx>
          <c:cat>
            <c:strRef>
              <c:f>Лист2!$B$4:$B$7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применеия</c:v>
                </c:pt>
              </c:strCache>
            </c:strRef>
          </c:cat>
          <c:val>
            <c:numRef>
              <c:f>Лист2!$G$4:$G$7</c:f>
              <c:numCache>
                <c:formatCode>General</c:formatCode>
                <c:ptCount val="4"/>
                <c:pt idx="0">
                  <c:v>4.3</c:v>
                </c:pt>
                <c:pt idx="1">
                  <c:v>5.6</c:v>
                </c:pt>
                <c:pt idx="2">
                  <c:v>4.5999999999999996</c:v>
                </c:pt>
                <c:pt idx="3">
                  <c:v>3.1</c:v>
                </c:pt>
              </c:numCache>
            </c:numRef>
          </c:val>
        </c:ser>
        <c:ser>
          <c:idx val="5"/>
          <c:order val="5"/>
          <c:tx>
            <c:strRef>
              <c:f>Лист2!$H$3</c:f>
              <c:strCache>
                <c:ptCount val="1"/>
                <c:pt idx="0">
                  <c:v>Атрофия, индурация</c:v>
                </c:pt>
              </c:strCache>
            </c:strRef>
          </c:tx>
          <c:cat>
            <c:strRef>
              <c:f>Лист2!$B$4:$B$7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 применеия</c:v>
                </c:pt>
              </c:strCache>
            </c:strRef>
          </c:cat>
          <c:val>
            <c:numRef>
              <c:f>Лист2!$H$4:$H$7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4.5999999999999996</c:v>
                </c:pt>
                <c:pt idx="2">
                  <c:v>6.1</c:v>
                </c:pt>
                <c:pt idx="3">
                  <c:v>6.1</c:v>
                </c:pt>
              </c:numCache>
            </c:numRef>
          </c:val>
        </c:ser>
        <c:overlap val="100"/>
        <c:axId val="77259520"/>
        <c:axId val="77261056"/>
      </c:barChart>
      <c:catAx>
        <c:axId val="77259520"/>
        <c:scaling>
          <c:orientation val="minMax"/>
        </c:scaling>
        <c:axPos val="b"/>
        <c:majorTickMark val="none"/>
        <c:tickLblPos val="nextTo"/>
        <c:crossAx val="77261056"/>
        <c:crosses val="autoZero"/>
        <c:auto val="1"/>
        <c:lblAlgn val="ctr"/>
        <c:lblOffset val="100"/>
      </c:catAx>
      <c:valAx>
        <c:axId val="772610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</c:title>
        <c:numFmt formatCode="0%" sourceLinked="1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772595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</c:chart>
  <c:txPr>
    <a:bodyPr/>
    <a:lstStyle/>
    <a:p>
      <a:pPr>
        <a:defRPr sz="11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Лист2!$C$10</c:f>
              <c:strCache>
                <c:ptCount val="1"/>
                <c:pt idx="0">
                  <c:v>Отрицательная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Лист2!$B$11:$B$14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Лист2!$C$11:$C$14</c:f>
              <c:numCache>
                <c:formatCode>General</c:formatCode>
                <c:ptCount val="4"/>
                <c:pt idx="0">
                  <c:v>44.9</c:v>
                </c:pt>
                <c:pt idx="1">
                  <c:v>35.5</c:v>
                </c:pt>
                <c:pt idx="2">
                  <c:v>32.300000000000004</c:v>
                </c:pt>
                <c:pt idx="3">
                  <c:v>28.2</c:v>
                </c:pt>
              </c:numCache>
            </c:numRef>
          </c:val>
        </c:ser>
        <c:ser>
          <c:idx val="1"/>
          <c:order val="1"/>
          <c:tx>
            <c:strRef>
              <c:f>Лист2!$D$10</c:f>
              <c:strCache>
                <c:ptCount val="1"/>
                <c:pt idx="0">
                  <c:v>Сомнительная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Лист2!$B$11:$B$14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Лист2!$D$11:$D$14</c:f>
              <c:numCache>
                <c:formatCode>General</c:formatCode>
                <c:ptCount val="4"/>
                <c:pt idx="0">
                  <c:v>23.9</c:v>
                </c:pt>
                <c:pt idx="1">
                  <c:v>35.200000000000003</c:v>
                </c:pt>
                <c:pt idx="2">
                  <c:v>22.2</c:v>
                </c:pt>
                <c:pt idx="3">
                  <c:v>28.2</c:v>
                </c:pt>
              </c:numCache>
            </c:numRef>
          </c:val>
        </c:ser>
        <c:ser>
          <c:idx val="2"/>
          <c:order val="2"/>
          <c:tx>
            <c:strRef>
              <c:f>Лист2!$E$10</c:f>
              <c:strCache>
                <c:ptCount val="1"/>
                <c:pt idx="0">
                  <c:v>Положительная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Лист2!$B$11:$B$14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Лист2!$E$11:$E$14</c:f>
              <c:numCache>
                <c:formatCode>General</c:formatCode>
                <c:ptCount val="4"/>
                <c:pt idx="0">
                  <c:v>13</c:v>
                </c:pt>
                <c:pt idx="1">
                  <c:v>16.2</c:v>
                </c:pt>
                <c:pt idx="2">
                  <c:v>28.6</c:v>
                </c:pt>
                <c:pt idx="3">
                  <c:v>19.600000000000001</c:v>
                </c:pt>
              </c:numCache>
            </c:numRef>
          </c:val>
        </c:ser>
        <c:ser>
          <c:idx val="3"/>
          <c:order val="3"/>
          <c:tx>
            <c:strRef>
              <c:f>Лист2!$F$10</c:f>
              <c:strCache>
                <c:ptCount val="1"/>
                <c:pt idx="0">
                  <c:v>Резко-положительная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Лист2!$B$11:$B$14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Лист2!$F$11:$F$14</c:f>
              <c:numCache>
                <c:formatCode>General</c:formatCode>
                <c:ptCount val="4"/>
                <c:pt idx="0">
                  <c:v>9.2000000000000011</c:v>
                </c:pt>
                <c:pt idx="1">
                  <c:v>4.5999999999999996</c:v>
                </c:pt>
                <c:pt idx="2">
                  <c:v>8.1</c:v>
                </c:pt>
                <c:pt idx="3">
                  <c:v>14.9</c:v>
                </c:pt>
              </c:numCache>
            </c:numRef>
          </c:val>
        </c:ser>
        <c:ser>
          <c:idx val="4"/>
          <c:order val="4"/>
          <c:tx>
            <c:strRef>
              <c:f>Лист2!$G$10</c:f>
              <c:strCache>
                <c:ptCount val="1"/>
                <c:pt idx="0">
                  <c:v>Клинический мастит</c:v>
                </c:pt>
              </c:strCache>
            </c:strRef>
          </c:tx>
          <c:cat>
            <c:strRef>
              <c:f>Лист2!$B$11:$B$14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Лист2!$G$11:$G$14</c:f>
              <c:numCache>
                <c:formatCode>General</c:formatCode>
                <c:ptCount val="4"/>
                <c:pt idx="0">
                  <c:v>4.3</c:v>
                </c:pt>
                <c:pt idx="1">
                  <c:v>4.3</c:v>
                </c:pt>
                <c:pt idx="2">
                  <c:v>4.3</c:v>
                </c:pt>
                <c:pt idx="3">
                  <c:v>4.8</c:v>
                </c:pt>
              </c:numCache>
            </c:numRef>
          </c:val>
        </c:ser>
        <c:ser>
          <c:idx val="5"/>
          <c:order val="5"/>
          <c:tx>
            <c:strRef>
              <c:f>Лист2!$H$10</c:f>
              <c:strCache>
                <c:ptCount val="1"/>
                <c:pt idx="0">
                  <c:v>Атрофия, индурация</c:v>
                </c:pt>
              </c:strCache>
            </c:strRef>
          </c:tx>
          <c:cat>
            <c:strRef>
              <c:f>Лист2!$B$11:$B$14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месяца</c:v>
                </c:pt>
              </c:strCache>
            </c:strRef>
          </c:cat>
          <c:val>
            <c:numRef>
              <c:f>Лист2!$H$11:$H$14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4.5999999999999996</c:v>
                </c:pt>
                <c:pt idx="2">
                  <c:v>4.8</c:v>
                </c:pt>
                <c:pt idx="3">
                  <c:v>4.8</c:v>
                </c:pt>
              </c:numCache>
            </c:numRef>
          </c:val>
        </c:ser>
        <c:gapWidth val="95"/>
        <c:overlap val="100"/>
        <c:axId val="78373632"/>
        <c:axId val="78375168"/>
      </c:barChart>
      <c:catAx>
        <c:axId val="78373632"/>
        <c:scaling>
          <c:orientation val="minMax"/>
        </c:scaling>
        <c:axPos val="b"/>
        <c:majorTickMark val="none"/>
        <c:tickLblPos val="nextTo"/>
        <c:crossAx val="78375168"/>
        <c:crosses val="autoZero"/>
        <c:auto val="1"/>
        <c:lblAlgn val="ctr"/>
        <c:lblOffset val="100"/>
      </c:catAx>
      <c:valAx>
        <c:axId val="78375168"/>
        <c:scaling>
          <c:orientation val="minMax"/>
          <c:max val="1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783736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180944395839438"/>
          <c:y val="4.0875509481807161E-2"/>
          <c:w val="0.67121524739963145"/>
          <c:h val="0.62316786859345374"/>
        </c:manualLayout>
      </c:layout>
      <c:barChart>
        <c:barDir val="col"/>
        <c:grouping val="clustered"/>
        <c:ser>
          <c:idx val="0"/>
          <c:order val="0"/>
          <c:tx>
            <c:strRef>
              <c:f>Лист3!$D$6</c:f>
              <c:strCache>
                <c:ptCount val="1"/>
                <c:pt idx="0">
                  <c:v>Незначительная шероховатость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Лист3!$C$7:$C$10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 месяца применения</c:v>
                </c:pt>
              </c:strCache>
            </c:strRef>
          </c:cat>
          <c:val>
            <c:numRef>
              <c:f>Лист3!$D$7:$D$10</c:f>
              <c:numCache>
                <c:formatCode>General</c:formatCode>
                <c:ptCount val="4"/>
                <c:pt idx="0">
                  <c:v>9.9</c:v>
                </c:pt>
                <c:pt idx="1">
                  <c:v>29.7</c:v>
                </c:pt>
                <c:pt idx="2">
                  <c:v>30.4</c:v>
                </c:pt>
                <c:pt idx="3">
                  <c:v>44.4</c:v>
                </c:pt>
              </c:numCache>
            </c:numRef>
          </c:val>
        </c:ser>
        <c:ser>
          <c:idx val="1"/>
          <c:order val="1"/>
          <c:tx>
            <c:strRef>
              <c:f>Лист3!$E$6</c:f>
              <c:strCache>
                <c:ptCount val="1"/>
                <c:pt idx="0">
                  <c:v>Рельефная круговая мозоль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Лист3!$C$7:$C$10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 месяца применения</c:v>
                </c:pt>
              </c:strCache>
            </c:strRef>
          </c:cat>
          <c:val>
            <c:numRef>
              <c:f>Лист3!$E$7:$E$10</c:f>
              <c:numCache>
                <c:formatCode>General</c:formatCode>
                <c:ptCount val="4"/>
                <c:pt idx="0">
                  <c:v>48.2</c:v>
                </c:pt>
                <c:pt idx="1">
                  <c:v>50.4</c:v>
                </c:pt>
                <c:pt idx="2">
                  <c:v>52.6</c:v>
                </c:pt>
                <c:pt idx="3">
                  <c:v>42.1</c:v>
                </c:pt>
              </c:numCache>
            </c:numRef>
          </c:val>
        </c:ser>
        <c:ser>
          <c:idx val="2"/>
          <c:order val="2"/>
          <c:tx>
            <c:strRef>
              <c:f>Лист3!$F$6</c:f>
              <c:strCache>
                <c:ptCount val="1"/>
                <c:pt idx="0">
                  <c:v>Гиперкератоз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Лист3!$C$7:$C$10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 месяца применения</c:v>
                </c:pt>
              </c:strCache>
            </c:strRef>
          </c:cat>
          <c:val>
            <c:numRef>
              <c:f>Лист3!$F$7:$F$10</c:f>
              <c:numCache>
                <c:formatCode>General</c:formatCode>
                <c:ptCount val="4"/>
                <c:pt idx="0">
                  <c:v>22.4</c:v>
                </c:pt>
                <c:pt idx="1">
                  <c:v>14</c:v>
                </c:pt>
                <c:pt idx="2">
                  <c:v>12.8</c:v>
                </c:pt>
                <c:pt idx="3">
                  <c:v>10.7</c:v>
                </c:pt>
              </c:numCache>
            </c:numRef>
          </c:val>
        </c:ser>
        <c:ser>
          <c:idx val="3"/>
          <c:order val="3"/>
          <c:tx>
            <c:strRef>
              <c:f>Лист3!$G$6</c:f>
              <c:strCache>
                <c:ptCount val="1"/>
                <c:pt idx="0">
                  <c:v>Осложненный гиперкератоз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Лист3!$C$7:$C$10</c:f>
              <c:strCache>
                <c:ptCount val="4"/>
                <c:pt idx="0">
                  <c:v>Исходные данные</c:v>
                </c:pt>
                <c:pt idx="1">
                  <c:v>1 месяц применения</c:v>
                </c:pt>
                <c:pt idx="2">
                  <c:v>2 месяца применения</c:v>
                </c:pt>
                <c:pt idx="3">
                  <c:v>3  месяца применения</c:v>
                </c:pt>
              </c:strCache>
            </c:strRef>
          </c:cat>
          <c:val>
            <c:numRef>
              <c:f>Лист3!$G$7:$G$10</c:f>
              <c:numCache>
                <c:formatCode>General</c:formatCode>
                <c:ptCount val="4"/>
                <c:pt idx="0">
                  <c:v>15.2</c:v>
                </c:pt>
                <c:pt idx="1">
                  <c:v>3.9</c:v>
                </c:pt>
                <c:pt idx="2">
                  <c:v>2.4</c:v>
                </c:pt>
                <c:pt idx="3">
                  <c:v>1.8</c:v>
                </c:pt>
              </c:numCache>
            </c:numRef>
          </c:val>
        </c:ser>
        <c:axId val="78404608"/>
        <c:axId val="78422784"/>
      </c:barChart>
      <c:catAx>
        <c:axId val="78404608"/>
        <c:scaling>
          <c:orientation val="minMax"/>
        </c:scaling>
        <c:axPos val="b"/>
        <c:majorTickMark val="none"/>
        <c:tickLblPos val="nextTo"/>
        <c:crossAx val="78422784"/>
        <c:crosses val="autoZero"/>
        <c:auto val="1"/>
        <c:lblAlgn val="ctr"/>
        <c:lblOffset val="100"/>
      </c:catAx>
      <c:valAx>
        <c:axId val="784227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784046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7.2078713375113831E-2"/>
          <c:y val="8.3245633383775025E-2"/>
          <c:w val="0.89920992018854773"/>
          <c:h val="0.52456721889706848"/>
        </c:manualLayout>
      </c:layout>
      <c:lineChart>
        <c:grouping val="standard"/>
        <c:ser>
          <c:idx val="0"/>
          <c:order val="0"/>
          <c:tx>
            <c:strRef>
              <c:f>Лист1!$E$4</c:f>
              <c:strCache>
                <c:ptCount val="1"/>
                <c:pt idx="0">
                  <c:v>контрольная группа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Лист1!$D$5:$D$9</c:f>
              <c:strCache>
                <c:ptCount val="5"/>
                <c:pt idx="0">
                  <c:v>Исходные данные</c:v>
                </c:pt>
                <c:pt idx="1">
                  <c:v>Через 7 дней</c:v>
                </c:pt>
                <c:pt idx="2">
                  <c:v>Через 14 дней </c:v>
                </c:pt>
                <c:pt idx="3">
                  <c:v>Через 21 день </c:v>
                </c:pt>
                <c:pt idx="4">
                  <c:v>Через 28 дней</c:v>
                </c:pt>
              </c:strCache>
            </c:strRef>
          </c:cat>
          <c:val>
            <c:numRef>
              <c:f>Лист1!$E$5:$E$9</c:f>
              <c:numCache>
                <c:formatCode>General</c:formatCode>
                <c:ptCount val="5"/>
                <c:pt idx="0">
                  <c:v>660</c:v>
                </c:pt>
                <c:pt idx="1">
                  <c:v>555</c:v>
                </c:pt>
                <c:pt idx="2">
                  <c:v>599</c:v>
                </c:pt>
                <c:pt idx="3">
                  <c:v>660</c:v>
                </c:pt>
                <c:pt idx="4">
                  <c:v>665</c:v>
                </c:pt>
              </c:numCache>
            </c:numRef>
          </c:val>
        </c:ser>
        <c:ser>
          <c:idx val="1"/>
          <c:order val="1"/>
          <c:tx>
            <c:strRef>
              <c:f>Лист1!$F$4</c:f>
              <c:strCache>
                <c:ptCount val="1"/>
                <c:pt idx="0">
                  <c:v>опытная группа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Лист1!$D$5:$D$9</c:f>
              <c:strCache>
                <c:ptCount val="5"/>
                <c:pt idx="0">
                  <c:v>Исходные данные</c:v>
                </c:pt>
                <c:pt idx="1">
                  <c:v>Через 7 дней</c:v>
                </c:pt>
                <c:pt idx="2">
                  <c:v>Через 14 дней </c:v>
                </c:pt>
                <c:pt idx="3">
                  <c:v>Через 21 день </c:v>
                </c:pt>
                <c:pt idx="4">
                  <c:v>Через 28 дней</c:v>
                </c:pt>
              </c:strCache>
            </c:strRef>
          </c:cat>
          <c:val>
            <c:numRef>
              <c:f>Лист1!$F$5:$F$9</c:f>
              <c:numCache>
                <c:formatCode>General</c:formatCode>
                <c:ptCount val="5"/>
                <c:pt idx="0">
                  <c:v>660</c:v>
                </c:pt>
                <c:pt idx="1">
                  <c:v>453</c:v>
                </c:pt>
                <c:pt idx="2">
                  <c:v>388</c:v>
                </c:pt>
                <c:pt idx="3">
                  <c:v>385</c:v>
                </c:pt>
                <c:pt idx="4">
                  <c:v>365</c:v>
                </c:pt>
              </c:numCache>
            </c:numRef>
          </c:val>
        </c:ser>
        <c:dLbls>
          <c:showVal val="1"/>
        </c:dLbls>
        <c:marker val="1"/>
        <c:axId val="78457856"/>
        <c:axId val="78459648"/>
      </c:lineChart>
      <c:catAx>
        <c:axId val="784578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78459648"/>
        <c:crosses val="autoZero"/>
        <c:auto val="1"/>
        <c:lblAlgn val="ctr"/>
        <c:lblOffset val="100"/>
      </c:catAx>
      <c:valAx>
        <c:axId val="78459648"/>
        <c:scaling>
          <c:orientation val="minMax"/>
          <c:max val="800"/>
        </c:scaling>
        <c:axPos val="l"/>
        <c:majorGridlines/>
        <c:numFmt formatCode="General" sourceLinked="1"/>
        <c:majorTickMark val="none"/>
        <c:tickLblPos val="nextTo"/>
        <c:crossAx val="7845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1583333333333423E-2"/>
          <c:y val="0.88838226997325531"/>
          <c:w val="0.88063888888888875"/>
          <c:h val="9.3360309128025745E-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A060-D52C-4424-BABE-76CCDBDF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v.zavjalov</cp:lastModifiedBy>
  <cp:revision>4</cp:revision>
  <cp:lastPrinted>2013-06-13T08:01:00Z</cp:lastPrinted>
  <dcterms:created xsi:type="dcterms:W3CDTF">2013-06-05T18:31:00Z</dcterms:created>
  <dcterms:modified xsi:type="dcterms:W3CDTF">2013-06-13T08:04:00Z</dcterms:modified>
</cp:coreProperties>
</file>